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t xml:space="preserve"/>
      </w:r>
    </w:p>
    <w:p>
      <w:pPr>
        <w:spacing w:after="800" w:before="0"/>
        <w:jc w:val="center"/>
      </w:pPr>
      <w:r>
        <w:drawing>
          <wp:inline distT="0" distB="0" distL="0" distR="0">
            <wp:extent cx="2057400" cy="685800"/>
            <wp:effectExtent t="0" r="0" b="0" l="0"/>
            <wp:docPr id="1" name="Logo" descr="Resilience by Design logo" title="Resilience b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057400" cy="685800"/>
                    </a:xfrm>
                    <a:prstGeom prst="rect">
                      <a:avLst/>
                    </a:prstGeom>
                  </pic:spPr>
                </pic:pic>
              </a:graphicData>
            </a:graphic>
          </wp:inline>
        </w:drawing>
      </w:r>
    </w:p>
    <w:p>
      <w:pPr>
        <w:pBdr>
          <w:bottom w:val="single" w:color="0B1F33" w:sz="16" w:space="1"/>
        </w:pBdr>
        <w:spacing w:after="560" w:before="0"/>
      </w:pPr>
      <w:r>
        <w:t xml:space="preserve"/>
      </w:r>
    </w:p>
    <w:p>
      <w:pPr>
        <w:spacing w:after="280" w:before="0"/>
        <w:jc w:val="center"/>
      </w:pPr>
      <w:r>
        <w:rPr>
          <w:rFonts w:ascii="Inter" w:cs="Inter" w:eastAsia="Inter" w:hAnsi="Inter"/>
          <w:b/>
          <w:bCs/>
          <w:color w:val="0B1F33"/>
          <w:sz w:val="60"/>
          <w:szCs w:val="60"/>
        </w:rPr>
        <w:t xml:space="preserve">CYBER RECOVERY READINESS ASSESSMENT</w:t>
      </w:r>
    </w:p>
    <w:p>
      <w:pPr>
        <w:spacing w:after="520" w:before="0"/>
        <w:jc w:val="center"/>
      </w:pPr>
      <w:r>
        <w:rPr>
          <w:rFonts w:ascii="Inter" w:cs="Inter" w:eastAsia="Inter" w:hAnsi="Inter"/>
          <w:i/>
          <w:iCs/>
          <w:color w:val="4FA3D1"/>
          <w:sz w:val="28"/>
          <w:szCs w:val="28"/>
        </w:rPr>
        <w:t xml:space="preserve">How ready is your organization to recover from a severe cyber outage?</w:t>
      </w:r>
    </w:p>
    <w:p>
      <w:pPr>
        <w:pBdr>
          <w:bottom w:val="single" w:color="3A5A73" w:sz="4" w:space="1"/>
        </w:pBdr>
        <w:spacing w:after="520" w:before="0"/>
      </w:pPr>
      <w:r>
        <w:t xml:space="preserve"/>
      </w:r>
    </w:p>
    <w:p>
      <w:pPr>
        <w:pBdr>
          <w:top w:val="single" w:color="3A5A73" w:sz="4" w:space="6"/>
          <w:left w:val="single" w:color="0B1F33" w:sz="20" w:space="6"/>
          <w:bottom w:val="single" w:color="3A5A73" w:sz="4" w:space="6"/>
          <w:right w:val="single" w:color="3A5A73" w:sz="4" w:space="6"/>
        </w:pBdr>
        <w:shd w:fill="F4F6F8" w:val="clear"/>
        <w:spacing w:after="0" w:before="0"/>
        <w:ind w:left="800" w:right="800"/>
        <w:jc w:val="center"/>
      </w:pPr>
      <w:r>
        <w:rPr>
          <w:rFonts w:ascii="Inter" w:cs="Inter" w:eastAsia="Inter" w:hAnsi="Inter"/>
          <w:color w:val="0B1F33"/>
          <w:sz w:val="22"/>
          <w:szCs w:val="22"/>
        </w:rPr>
        <w:t xml:space="preserve">A rapid self-assessment for board members and senior executives. Identify where your organization stands across five dimensions of recovery readiness — and where to focus investment first. Approximately 8 minutes to complete.</w:t>
      </w:r>
    </w:p>
    <w:p>
      <w:pPr>
        <w:spacing w:after="0" w:before="1800"/>
      </w:pPr>
      <w:r>
        <w:t xml:space="preserve"/>
      </w:r>
    </w:p>
    <w:p>
      <w:pPr>
        <w:spacing w:after="80" w:before="0"/>
        <w:jc w:val="center"/>
      </w:pPr>
      <w:r>
        <w:rPr>
          <w:rFonts w:ascii="Inter" w:cs="Inter" w:eastAsia="Inter" w:hAnsi="Inter"/>
          <w:b/>
          <w:bCs/>
          <w:color w:val="0B1F33"/>
          <w:sz w:val="26"/>
          <w:szCs w:val="26"/>
        </w:rPr>
        <w:t xml:space="preserve">RESILIENCE BY DESIGN</w:t>
      </w:r>
    </w:p>
    <w:p>
      <w:pPr>
        <w:spacing w:after="100" w:before="0"/>
        <w:jc w:val="center"/>
      </w:pPr>
      <w:r>
        <w:rPr>
          <w:rFonts w:ascii="Inter" w:cs="Inter" w:eastAsia="Inter" w:hAnsi="Inter"/>
          <w:color w:val="4FA3D1"/>
          <w:sz w:val="22"/>
          <w:szCs w:val="22"/>
        </w:rPr>
        <w:t xml:space="preserve">ResiliencebyDesign.com</w:t>
      </w:r>
    </w:p>
    <w:p>
      <w:pPr>
        <w:spacing w:after="0" w:before="0"/>
        <w:jc w:val="center"/>
      </w:pPr>
      <w:r>
        <w:rPr>
          <w:rFonts w:ascii="Inter" w:cs="Inter" w:eastAsia="Inter" w:hAnsi="Inter"/>
          <w:color w:val="A7B3BF"/>
          <w:sz w:val="18"/>
          <w:szCs w:val="18"/>
        </w:rPr>
        <w:t xml:space="preserve">© 2026 Resilience by Design. All rights reserved.</w:t>
      </w:r>
    </w:p>
    <w:p>
      <w:pPr>
        <w:sectPr>
          <w:pgSz w:w="12240" w:h="15840" w:orient="portrait"/>
          <w:pgMar w:top="1440" w:right="1440" w:bottom="1440" w:left="1440" w:header="708" w:footer="708" w:gutter="0"/>
          <w:pgNumType/>
          <w:docGrid w:linePitch="360"/>
        </w:sectPr>
      </w:pPr>
    </w:p>
    <w:p>
      <w:pPr>
        <w:pBdr>
          <w:bottom w:val="single" w:color="3A5A73" w:sz="8" w:space="4"/>
        </w:pBdr>
        <w:spacing w:after="200" w:before="280"/>
      </w:pPr>
      <w:r>
        <w:rPr>
          <w:rFonts w:ascii="Inter" w:cs="Inter" w:eastAsia="Inter" w:hAnsi="Inter"/>
          <w:b/>
          <w:bCs/>
          <w:color w:val="0B1F33"/>
          <w:sz w:val="26"/>
          <w:szCs w:val="26"/>
        </w:rPr>
        <w:t xml:space="preserve">ABOUT THIS ASSESSMENT</w:t>
      </w:r>
    </w:p>
    <w:p>
      <w:pPr>
        <w:spacing w:after="160" w:before="0"/>
      </w:pPr>
      <w:r>
        <w:rPr>
          <w:rFonts w:ascii="Inter" w:cs="Inter" w:eastAsia="Inter" w:hAnsi="Inter"/>
          <w:color w:val="0B1F33"/>
          <w:sz w:val="22"/>
          <w:szCs w:val="22"/>
        </w:rPr>
        <w:t xml:space="preserve">Most organizations have invested significantly in cybersecurity. Far fewer are genuinely prepared to recover from a severe cyber outage — one where primary systems, conventional backups, and standard recovery tools are all simultaneously unavailable.</w:t>
      </w:r>
    </w:p>
    <w:p>
      <w:pPr>
        <w:spacing w:after="160" w:before="0"/>
      </w:pPr>
      <w:r>
        <w:rPr>
          <w:rFonts w:ascii="Inter" w:cs="Inter" w:eastAsia="Inter" w:hAnsi="Inter"/>
          <w:color w:val="0B1F33"/>
          <w:sz w:val="22"/>
          <w:szCs w:val="22"/>
        </w:rPr>
        <w:t xml:space="preserve">This assessment measures something different from security posture. It measures recovery readiness: the ability to restore minimum viable operations after an attack has already succeeded. The two are related, but they are not the same. Organizations that score well on security often score poorly on recovery, because the foundational work — defining what must survive, mapping its true dependencies, and building a tested restoration path — is harder, less visible, and chronically underfunded.</w:t>
      </w:r>
    </w:p>
    <w:p>
      <w:pPr>
        <w:pBdr>
          <w:left w:val="single" w:color="0B1F33" w:sz="20" w:space="4"/>
        </w:pBdr>
        <w:shd w:fill="EBF2F8" w:val="clear"/>
        <w:spacing w:after="240" w:before="0"/>
        <w:ind w:left="180" w:right="180"/>
      </w:pPr>
      <w:r>
        <w:rPr>
          <w:rFonts w:ascii="Inter" w:cs="Inter" w:eastAsia="Inter" w:hAnsi="Inter"/>
          <w:b/>
          <w:bCs/>
          <w:color w:val="0B1F33"/>
          <w:sz w:val="22"/>
          <w:szCs w:val="22"/>
        </w:rPr>
        <w:t xml:space="preserve">Your score reflects your perception of organizational readiness today. </w:t>
      </w:r>
      <w:r>
        <w:rPr>
          <w:rFonts w:ascii="Inter" w:cs="Inter" w:eastAsia="Inter" w:hAnsi="Inter"/>
          <w:i/>
          <w:iCs/>
          <w:color w:val="0B1F33"/>
          <w:sz w:val="22"/>
          <w:szCs w:val="22"/>
        </w:rPr>
        <w:t xml:space="preserve">For an evidence-based, validated assessment delivered as a facilitated leadership workshop, ask about the Resilience Journey Assessment at ResiliencebyDesign.com.</w:t>
      </w:r>
    </w:p>
    <w:p>
      <w:pPr>
        <w:pBdr>
          <w:bottom w:val="single" w:color="3A5A73" w:sz="8" w:space="4"/>
        </w:pBdr>
        <w:spacing w:after="200" w:before="280"/>
      </w:pPr>
      <w:r>
        <w:rPr>
          <w:rFonts w:ascii="Inter" w:cs="Inter" w:eastAsia="Inter" w:hAnsi="Inter"/>
          <w:b/>
          <w:bCs/>
          <w:color w:val="0B1F33"/>
          <w:sz w:val="26"/>
          <w:szCs w:val="26"/>
        </w:rPr>
        <w:t xml:space="preserve">HOW TO COMPLETE THIS ASSESSMENT</w:t>
      </w:r>
    </w:p>
    <w:p>
      <w:pPr>
        <w:spacing w:after="160" w:before="0"/>
      </w:pPr>
      <w:r>
        <w:rPr>
          <w:rFonts w:ascii="Inter" w:cs="Inter" w:eastAsia="Inter" w:hAnsi="Inter"/>
          <w:color w:val="0B1F33"/>
          <w:sz w:val="22"/>
          <w:szCs w:val="22"/>
        </w:rPr>
        <w:t xml:space="preserve">For each question, select the response that most accurately describes your organization today — not where you aspire to be, and not your best-case scenario. Honest answers produce useful results.</w:t>
      </w:r>
    </w:p>
    <w:p>
      <w:pPr>
        <w:spacing w:after="160" w:before="0"/>
      </w:pPr>
      <w:r>
        <w:rPr>
          <w:rFonts w:ascii="Inter" w:cs="Inter" w:eastAsia="Inter" w:hAnsi="Inter"/>
          <w:color w:val="0B1F33"/>
          <w:sz w:val="22"/>
          <w:szCs w:val="22"/>
        </w:rPr>
        <w:t xml:space="preserve">The assessment covers five dimensions of recovery readiness, with two questions per dimension. Mark or circle your selection. Scoring instructions and interpretation are provided at the end.</w:t>
      </w:r>
    </w:p>
    <w:p>
      <w:r>
        <w:br w:type="page"/>
      </w:r>
    </w:p>
    <w:p>
      <w:pPr>
        <w:pBdr>
          <w:top w:val="single" w:color="0B1F33" w:sz="1"/>
          <w:left w:val="single" w:color="0B1F33" w:sz="1"/>
          <w:right w:val="single" w:color="0B1F33" w:sz="1"/>
        </w:pBdr>
        <w:shd w:fill="0B1F33" w:val="clear"/>
        <w:spacing w:after="0" w:before="200"/>
        <w:ind w:left="180" w:right="180"/>
      </w:pPr>
      <w:r>
        <w:rPr>
          <w:rFonts w:ascii="Inter" w:cs="Inter" w:eastAsia="Inter" w:hAnsi="Inter"/>
          <w:b/>
          <w:bCs/>
          <w:color w:val="FFFFFF"/>
          <w:sz w:val="22"/>
          <w:szCs w:val="22"/>
        </w:rPr>
        <w:t xml:space="preserve">DIMENSION 1</w:t>
      </w:r>
      <w:r>
        <w:rPr>
          <w:rFonts w:ascii="Inter" w:cs="Inter" w:eastAsia="Inter" w:hAnsi="Inter"/>
          <w:b/>
          <w:bCs/>
          <w:color w:val="A8C8E8"/>
          <w:sz w:val="22"/>
          <w:szCs w:val="22"/>
        </w:rPr>
        <w:t xml:space="preserve"> | OUTCOME CLARITY</w:t>
      </w:r>
    </w:p>
    <w:p>
      <w:pPr>
        <w:pBdr>
          <w:left w:val="single" w:color="0B1F33" w:sz="1"/>
          <w:bottom w:val="single" w:color="0B1F33" w:sz="8"/>
          <w:right w:val="single" w:color="0B1F33" w:sz="1"/>
        </w:pBdr>
        <w:shd w:fill="EBF2F8" w:val="clear"/>
        <w:spacing w:after="240" w:before="0"/>
        <w:ind w:left="180" w:right="180"/>
      </w:pPr>
      <w:r>
        <w:rPr>
          <w:rFonts w:ascii="Inter" w:cs="Inter" w:eastAsia="Inter" w:hAnsi="Inter"/>
          <w:i/>
          <w:iCs/>
          <w:color w:val="0B1F33"/>
          <w:sz w:val="21"/>
          <w:szCs w:val="21"/>
        </w:rPr>
        <w:t xml:space="preserve">Do you know exactly what must survive?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Q1.  </w:t>
            </w:r>
            <w:r>
              <w:rPr>
                <w:rFonts w:ascii="Inter" w:cs="Inter" w:eastAsia="Inter" w:hAnsi="Inter"/>
                <w:color w:val="0B1F33"/>
                <w:sz w:val="22"/>
                <w:szCs w:val="22"/>
              </w:rPr>
              <w:t xml:space="preserve">If every digital system in your organization failed tonight, could your leadership team immediately describe the minimum set of services your organization must keep running to remain viable?</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No. We have never formally defined this.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Roughly. We have a general sense but it has never been formally agreed.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In general terms. Leadership has discussed it but it is not documented.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Yes. We have a documented Minimum Viable Operation that leadership has agreed on.</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Yes, with specificity. It is documented, validated against real dependencies, and reviewed regularly.</w:t>
            </w:r>
          </w:p>
        </w:tc>
      </w:tr>
    </w:tbl>
    <w:p>
      <w:pPr>
        <w:spacing w:after="2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Q2.  </w:t>
            </w:r>
            <w:r>
              <w:rPr>
                <w:rFonts w:ascii="Inter" w:cs="Inter" w:eastAsia="Inter" w:hAnsi="Inter"/>
                <w:color w:val="0B1F33"/>
                <w:sz w:val="22"/>
                <w:szCs w:val="22"/>
              </w:rPr>
              <w:t xml:space="preserve">How confident are you that your leadership team shares the same understanding of what must be recovered first in a severe outage?</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Not confident. This has never been discussed at leadership level.</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Slightly. Some leaders have talked about it informally.</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Moderately. There is general alignment but no formal agreement.</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Confident. Leadership has aligned and documented priorities.</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Very confident. We have tested that alignment under pressure and it held.</w:t>
            </w:r>
          </w:p>
        </w:tc>
      </w:tr>
    </w:tbl>
    <w:p>
      <w:pPr>
        <w:spacing w:after="220" w:before="0"/>
      </w:pPr>
      <w:r>
        <w:t xml:space="preserve"/>
      </w:r>
    </w:p>
    <w:p>
      <w:r>
        <w:br w:type="page"/>
      </w:r>
    </w:p>
    <w:p>
      <w:pPr>
        <w:pBdr>
          <w:top w:val="single" w:color="0B1F33" w:sz="1"/>
          <w:left w:val="single" w:color="0B1F33" w:sz="1"/>
          <w:right w:val="single" w:color="0B1F33" w:sz="1"/>
        </w:pBdr>
        <w:shd w:fill="0B1F33" w:val="clear"/>
        <w:spacing w:after="0" w:before="200"/>
        <w:ind w:left="180" w:right="180"/>
      </w:pPr>
      <w:r>
        <w:rPr>
          <w:rFonts w:ascii="Inter" w:cs="Inter" w:eastAsia="Inter" w:hAnsi="Inter"/>
          <w:b/>
          <w:bCs/>
          <w:color w:val="FFFFFF"/>
          <w:sz w:val="22"/>
          <w:szCs w:val="22"/>
        </w:rPr>
        <w:t xml:space="preserve">DIMENSION 2</w:t>
      </w:r>
      <w:r>
        <w:rPr>
          <w:rFonts w:ascii="Inter" w:cs="Inter" w:eastAsia="Inter" w:hAnsi="Inter"/>
          <w:b/>
          <w:bCs/>
          <w:color w:val="A8C8E8"/>
          <w:sz w:val="22"/>
          <w:szCs w:val="22"/>
        </w:rPr>
        <w:t xml:space="preserve"> | DEPENDENCY INTELLIGENCE</w:t>
      </w:r>
    </w:p>
    <w:p>
      <w:pPr>
        <w:pBdr>
          <w:left w:val="single" w:color="0B1F33" w:sz="1"/>
          <w:bottom w:val="single" w:color="0B1F33" w:sz="8"/>
          <w:right w:val="single" w:color="0B1F33" w:sz="1"/>
        </w:pBdr>
        <w:shd w:fill="EBF2F8" w:val="clear"/>
        <w:spacing w:after="240" w:before="0"/>
        <w:ind w:left="180" w:right="180"/>
      </w:pPr>
      <w:r>
        <w:rPr>
          <w:rFonts w:ascii="Inter" w:cs="Inter" w:eastAsia="Inter" w:hAnsi="Inter"/>
          <w:i/>
          <w:iCs/>
          <w:color w:val="0B1F33"/>
          <w:sz w:val="21"/>
          <w:szCs w:val="21"/>
        </w:rPr>
        <w:t xml:space="preserve">Do you know everything required to deliver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Q3.  </w:t>
            </w:r>
            <w:r>
              <w:rPr>
                <w:rFonts w:ascii="Inter" w:cs="Inter" w:eastAsia="Inter" w:hAnsi="Inter"/>
                <w:color w:val="0B1F33"/>
                <w:sz w:val="22"/>
                <w:szCs w:val="22"/>
              </w:rPr>
              <w:t xml:space="preserve">Do you have a complete picture of every resource — people, systems, data, third parties, facilities — required to deliver your most critical services?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No. We have a general idea but nothing documented.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Partial. We have mapped some dependencies but not all.</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Mostly. We have a documented map but it may not be fully current.</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Yes. We have a comprehensive dependency map for critical services.</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Yes, and validated. It is based on actual system data, verified by business experts, and kept current.</w:t>
            </w:r>
          </w:p>
        </w:tc>
      </w:tr>
    </w:tbl>
    <w:p>
      <w:pPr>
        <w:spacing w:after="2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Q4.  </w:t>
            </w:r>
            <w:r>
              <w:rPr>
                <w:rFonts w:ascii="Inter" w:cs="Inter" w:eastAsia="Inter" w:hAnsi="Inter"/>
                <w:color w:val="0B1F33"/>
                <w:sz w:val="22"/>
                <w:szCs w:val="22"/>
              </w:rPr>
              <w:t xml:space="preserve">What was your most recent recovery dependency assessment based on?</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We have not formally assessed recovery dependencies.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Primarily what our team believes to be true.</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A combination of team knowledge and some system documentation.</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A structured business impact analysis, though it may be dated.</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Current system data, validated by business subject matter experts.</w:t>
            </w:r>
          </w:p>
        </w:tc>
      </w:tr>
    </w:tbl>
    <w:p>
      <w:pPr>
        <w:spacing w:after="220" w:before="0"/>
      </w:pPr>
      <w:r>
        <w:t xml:space="preserve"/>
      </w:r>
    </w:p>
    <w:p>
      <w:r>
        <w:br w:type="page"/>
      </w:r>
    </w:p>
    <w:p>
      <w:pPr>
        <w:pBdr>
          <w:top w:val="single" w:color="0B1F33" w:sz="1"/>
          <w:left w:val="single" w:color="0B1F33" w:sz="1"/>
          <w:right w:val="single" w:color="0B1F33" w:sz="1"/>
        </w:pBdr>
        <w:shd w:fill="0B1F33" w:val="clear"/>
        <w:spacing w:after="0" w:before="200"/>
        <w:ind w:left="180" w:right="180"/>
      </w:pPr>
      <w:r>
        <w:rPr>
          <w:rFonts w:ascii="Inter" w:cs="Inter" w:eastAsia="Inter" w:hAnsi="Inter"/>
          <w:b/>
          <w:bCs/>
          <w:color w:val="FFFFFF"/>
          <w:sz w:val="22"/>
          <w:szCs w:val="22"/>
        </w:rPr>
        <w:t xml:space="preserve">DIMENSION 3</w:t>
      </w:r>
      <w:r>
        <w:rPr>
          <w:rFonts w:ascii="Inter" w:cs="Inter" w:eastAsia="Inter" w:hAnsi="Inter"/>
          <w:b/>
          <w:bCs/>
          <w:color w:val="A8C8E8"/>
          <w:sz w:val="22"/>
          <w:szCs w:val="22"/>
        </w:rPr>
        <w:t xml:space="preserve"> | RESTORATION READINESS</w:t>
      </w:r>
    </w:p>
    <w:p>
      <w:pPr>
        <w:pBdr>
          <w:left w:val="single" w:color="0B1F33" w:sz="1"/>
          <w:bottom w:val="single" w:color="0B1F33" w:sz="8"/>
          <w:right w:val="single" w:color="0B1F33" w:sz="1"/>
        </w:pBdr>
        <w:shd w:fill="EBF2F8" w:val="clear"/>
        <w:spacing w:after="240" w:before="0"/>
        <w:ind w:left="180" w:right="180"/>
      </w:pPr>
      <w:r>
        <w:rPr>
          <w:rFonts w:ascii="Inter" w:cs="Inter" w:eastAsia="Inter" w:hAnsi="Inter"/>
          <w:i/>
          <w:iCs/>
          <w:color w:val="0B1F33"/>
          <w:sz w:val="21"/>
          <w:szCs w:val="21"/>
        </w:rPr>
        <w:t xml:space="preserve">Could you actually execute recovery if everything failed?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Q5.  </w:t>
            </w:r>
            <w:r>
              <w:rPr>
                <w:rFonts w:ascii="Inter" w:cs="Inter" w:eastAsia="Inter" w:hAnsi="Inter"/>
                <w:color w:val="0B1F33"/>
                <w:sz w:val="22"/>
                <w:szCs w:val="22"/>
              </w:rPr>
              <w:t xml:space="preserve">Do you have a specific, step-by-step restoration protocol for your most critical services — one executable if your primary systems were completely unavailable or corrupted?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No. We have general continuity plans but nothing this specific.</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Partially. We have some documentation but it is incomplete or untested.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Mostly. We have documented steps but they have not been fully tested.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Yes. We have a tested restoration protocol for critical services.</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Yes, with confidence. It has been tested under realistic severe-outage conditions and we know it works.</w:t>
            </w:r>
          </w:p>
        </w:tc>
      </w:tr>
    </w:tbl>
    <w:p>
      <w:pPr>
        <w:spacing w:after="2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Q6.  </w:t>
            </w:r>
            <w:r>
              <w:rPr>
                <w:rFonts w:ascii="Inter" w:cs="Inter" w:eastAsia="Inter" w:hAnsi="Inter"/>
                <w:color w:val="0B1F33"/>
                <w:sz w:val="22"/>
                <w:szCs w:val="22"/>
              </w:rPr>
              <w:t xml:space="preserve">Does your restoration plan account for a scenario where your primary systems and backups are simultaneously unavailable — including those stored in the same environment?</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No. Our plan assumes some systems remain available.</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Uncertain. We have not specifically thought through this scenario.</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Partially. We have some provisions for this but have not tested them.</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Yes. We have an isolated recovery capability independent of our primary environment.</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Yes, fully. We have an independently validated recovery capability completely separated from our primary environment and tested under that assumption.</w:t>
            </w:r>
          </w:p>
        </w:tc>
      </w:tr>
    </w:tbl>
    <w:p>
      <w:pPr>
        <w:spacing w:after="220" w:before="0"/>
      </w:pPr>
      <w:r>
        <w:t xml:space="preserve"/>
      </w:r>
    </w:p>
    <w:p>
      <w:r>
        <w:br w:type="page"/>
      </w:r>
    </w:p>
    <w:p>
      <w:pPr>
        <w:pBdr>
          <w:top w:val="single" w:color="0B1F33" w:sz="1"/>
          <w:left w:val="single" w:color="0B1F33" w:sz="1"/>
          <w:right w:val="single" w:color="0B1F33" w:sz="1"/>
        </w:pBdr>
        <w:shd w:fill="0B1F33" w:val="clear"/>
        <w:spacing w:after="0" w:before="200"/>
        <w:ind w:left="180" w:right="180"/>
      </w:pPr>
      <w:r>
        <w:rPr>
          <w:rFonts w:ascii="Inter" w:cs="Inter" w:eastAsia="Inter" w:hAnsi="Inter"/>
          <w:b/>
          <w:bCs/>
          <w:color w:val="FFFFFF"/>
          <w:sz w:val="22"/>
          <w:szCs w:val="22"/>
        </w:rPr>
        <w:t xml:space="preserve">DIMENSION 4</w:t>
      </w:r>
      <w:r>
        <w:rPr>
          <w:rFonts w:ascii="Inter" w:cs="Inter" w:eastAsia="Inter" w:hAnsi="Inter"/>
          <w:b/>
          <w:bCs/>
          <w:color w:val="A8C8E8"/>
          <w:sz w:val="22"/>
          <w:szCs w:val="22"/>
        </w:rPr>
        <w:t xml:space="preserve"> | PLAN CURRENCY AND GOVERNANCE</w:t>
      </w:r>
    </w:p>
    <w:p>
      <w:pPr>
        <w:pBdr>
          <w:left w:val="single" w:color="0B1F33" w:sz="1"/>
          <w:bottom w:val="single" w:color="0B1F33" w:sz="8"/>
          <w:right w:val="single" w:color="0B1F33" w:sz="1"/>
        </w:pBdr>
        <w:shd w:fill="EBF2F8" w:val="clear"/>
        <w:spacing w:after="240" w:before="0"/>
        <w:ind w:left="180" w:right="180"/>
      </w:pPr>
      <w:r>
        <w:rPr>
          <w:rFonts w:ascii="Inter" w:cs="Inter" w:eastAsia="Inter" w:hAnsi="Inter"/>
          <w:i/>
          <w:iCs/>
          <w:color w:val="0B1F33"/>
          <w:sz w:val="21"/>
          <w:szCs w:val="21"/>
        </w:rPr>
        <w:t xml:space="preserve">Is your plan current, owned, and actively managed?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Q7.  </w:t>
            </w:r>
            <w:r>
              <w:rPr>
                <w:rFonts w:ascii="Inter" w:cs="Inter" w:eastAsia="Inter" w:hAnsi="Inter"/>
                <w:color w:val="0B1F33"/>
                <w:sz w:val="22"/>
                <w:szCs w:val="22"/>
              </w:rPr>
              <w:t xml:space="preserve">How current is your recovery plan — and what keeps it that way?</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Outdated. Not updated in over two years, or not updated after major changes.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Somewhat current. Updated occasionally but not systematically.</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Reasonably current. Reviewed annually and after major changes.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Current. We have a defined, repeatable process for keeping it updated.</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Continuously current. Maintained through an active process that reflects our environment as it actually is today.</w:t>
            </w:r>
          </w:p>
        </w:tc>
      </w:tr>
    </w:tbl>
    <w:p>
      <w:pPr>
        <w:spacing w:after="2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Q8.  </w:t>
            </w:r>
            <w:r>
              <w:rPr>
                <w:rFonts w:ascii="Inter" w:cs="Inter" w:eastAsia="Inter" w:hAnsi="Inter"/>
                <w:color w:val="0B1F33"/>
                <w:sz w:val="22"/>
                <w:szCs w:val="22"/>
              </w:rPr>
              <w:t xml:space="preserve">Who owns your organization’s recovery readiness — and do they have the authority and resources to act on it?</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Unclear. Responsibility is distributed or unassigned.</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Someone owns it nominally, without dedicated resources or real authority.</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There is an owner with some resources but limited executive backing.</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Clear owner with executive backing and adequate resources.</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Clear owner with Board-level accountability, executive mandate, and dedicated resources.</w:t>
            </w:r>
          </w:p>
        </w:tc>
      </w:tr>
    </w:tbl>
    <w:p>
      <w:pPr>
        <w:spacing w:after="220" w:before="0"/>
      </w:pPr>
      <w:r>
        <w:t xml:space="preserve"/>
      </w:r>
    </w:p>
    <w:p>
      <w:r>
        <w:br w:type="page"/>
      </w:r>
    </w:p>
    <w:p>
      <w:pPr>
        <w:pBdr>
          <w:top w:val="single" w:color="0B1F33" w:sz="1"/>
          <w:left w:val="single" w:color="0B1F33" w:sz="1"/>
          <w:right w:val="single" w:color="0B1F33" w:sz="1"/>
        </w:pBdr>
        <w:shd w:fill="0B1F33" w:val="clear"/>
        <w:spacing w:after="0" w:before="200"/>
        <w:ind w:left="180" w:right="180"/>
      </w:pPr>
      <w:r>
        <w:rPr>
          <w:rFonts w:ascii="Inter" w:cs="Inter" w:eastAsia="Inter" w:hAnsi="Inter"/>
          <w:b/>
          <w:bCs/>
          <w:color w:val="FFFFFF"/>
          <w:sz w:val="22"/>
          <w:szCs w:val="22"/>
        </w:rPr>
        <w:t xml:space="preserve">DIMENSION 5</w:t>
      </w:r>
      <w:r>
        <w:rPr>
          <w:rFonts w:ascii="Inter" w:cs="Inter" w:eastAsia="Inter" w:hAnsi="Inter"/>
          <w:b/>
          <w:bCs/>
          <w:color w:val="A8C8E8"/>
          <w:sz w:val="22"/>
          <w:szCs w:val="22"/>
        </w:rPr>
        <w:t xml:space="preserve"> | RECOVERY VELOCITY</w:t>
      </w:r>
    </w:p>
    <w:p>
      <w:pPr>
        <w:pBdr>
          <w:left w:val="single" w:color="0B1F33" w:sz="1"/>
          <w:bottom w:val="single" w:color="0B1F33" w:sz="8"/>
          <w:right w:val="single" w:color="0B1F33" w:sz="1"/>
        </w:pBdr>
        <w:shd w:fill="EBF2F8" w:val="clear"/>
        <w:spacing w:after="240" w:before="0"/>
        <w:ind w:left="180" w:right="180"/>
      </w:pPr>
      <w:r>
        <w:rPr>
          <w:rFonts w:ascii="Inter" w:cs="Inter" w:eastAsia="Inter" w:hAnsi="Inter"/>
          <w:i/>
          <w:iCs/>
          <w:color w:val="0B1F33"/>
          <w:sz w:val="21"/>
          <w:szCs w:val="21"/>
        </w:rPr>
        <w:t xml:space="preserve">Do you know how fast you can actually recover — and have you proven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Q9.  </w:t>
            </w:r>
            <w:r>
              <w:rPr>
                <w:rFonts w:ascii="Inter" w:cs="Inter" w:eastAsia="Inter" w:hAnsi="Inter"/>
                <w:color w:val="0B1F33"/>
                <w:sz w:val="22"/>
                <w:szCs w:val="22"/>
              </w:rPr>
              <w:t xml:space="preserve">How long would it take to restore minimum viable services after a complete, catastrophic outage — and how confident are you in that number?</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We do not know. We have never modeled or tested this.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We have an estimate based on assumptions, not tested recovery.</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We have a target recovery time, validated only through tabletop discussion.</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We have a validated recovery time based on a realistic exercise.</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We have a validated, regularly tested recovery time we are confident in under real conditions.</w:t>
            </w:r>
          </w:p>
        </w:tc>
      </w:tr>
    </w:tbl>
    <w:p>
      <w:pPr>
        <w:spacing w:after="2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0"/>
        <w:gridCol w:w="9380"/>
      </w:tblGrid>
      <w:tr>
        <w:tc>
          <w:tcPr>
            <w:tcW w:type="dxa" w:w="10080"/>
            <w:gridSpan w:val="2"/>
            <w:tcBorders>
              <w:top w:val="single" w:color="0B1F33" w:sz="10"/>
              <w:left w:val="single" w:color="0B1F33" w:sz="10"/>
              <w:bottom w:val="single" w:color="0B1F33" w:sz="2"/>
              <w:right w:val="single" w:color="0B1F33" w:sz="10"/>
            </w:tcBorders>
            <w:shd w:fill="EBF2F8" w:val="clear"/>
            <w:tcMar>
              <w:top w:type="dxa" w:w="140"/>
              <w:left w:type="dxa" w:w="180"/>
              <w:bottom w:type="dxa" w:w="140"/>
              <w:right w:type="dxa" w:w="180"/>
            </w:tcMar>
          </w:tcPr>
          <w:p>
            <w:r>
              <w:rPr>
                <w:rFonts w:ascii="Inter" w:cs="Inter" w:eastAsia="Inter" w:hAnsi="Inter"/>
                <w:b/>
                <w:bCs/>
                <w:color w:val="0B1F33"/>
                <w:sz w:val="22"/>
                <w:szCs w:val="22"/>
              </w:rPr>
              <w:t xml:space="preserve">Q10.  </w:t>
            </w:r>
            <w:r>
              <w:rPr>
                <w:rFonts w:ascii="Inter" w:cs="Inter" w:eastAsia="Inter" w:hAnsi="Inter"/>
                <w:color w:val="0B1F33"/>
                <w:sz w:val="22"/>
                <w:szCs w:val="22"/>
              </w:rPr>
              <w:t xml:space="preserve">Has your leadership team been through a realistic severe-outage simulation — one that tested not just the technical plan, but leadership decision-making and communication under pressure?</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No leadership-level resilience exercises.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Tabletop discussions, but not realistic simulations.</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9380"/>
            <w:tcBorders>
              <w:top w:val="single" w:color="A7B3BF" w:sz="1"/>
              <w:left w:val="single" w:color="A7B3BF" w:sz="1"/>
              <w:bottom w:val="single" w:color="A7B3BF" w:sz="1"/>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Some exercises, but not sufficiently realistic or recent.</w:t>
            </w:r>
          </w:p>
        </w:tc>
      </w:tr>
      <w:tr>
        <w:tc>
          <w:tcPr>
            <w:tcW w:type="dxa" w:w="700"/>
            <w:tcBorders>
              <w:top w:val="single" w:color="A7B3BF" w:sz="1"/>
              <w:left w:val="single" w:color="0B1F33" w:sz="10"/>
              <w:bottom w:val="single" w:color="A7B3BF" w:sz="1"/>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9380"/>
            <w:tcBorders>
              <w:top w:val="single" w:color="A7B3BF" w:sz="1"/>
              <w:left w:val="single" w:color="A7B3BF" w:sz="1"/>
              <w:bottom w:val="single" w:color="A7B3BF" w:sz="1"/>
              <w:right w:val="single" w:color="0B1F33" w:sz="10"/>
            </w:tcBorders>
            <w:shd w:fill="F4F6F8" w:val="clear"/>
            <w:tcMar>
              <w:top w:type="dxa" w:w="100"/>
              <w:left w:type="dxa" w:w="160"/>
              <w:bottom w:type="dxa" w:w="100"/>
              <w:right w:type="dxa" w:w="160"/>
            </w:tcMar>
          </w:tcPr>
          <w:p>
            <w:r>
              <w:rPr>
                <w:rFonts w:ascii="Inter" w:cs="Inter" w:eastAsia="Inter" w:hAnsi="Inter"/>
                <w:color w:val="0B1F33"/>
                <w:sz w:val="20"/>
                <w:szCs w:val="20"/>
              </w:rPr>
              <w:t xml:space="preserve">Yes. Realistic exercises completed with identified improvements acted on.</w:t>
            </w:r>
          </w:p>
        </w:tc>
      </w:tr>
      <w:tr>
        <w:tc>
          <w:tcPr>
            <w:tcW w:type="dxa" w:w="700"/>
            <w:tcBorders>
              <w:top w:val="single" w:color="A7B3BF" w:sz="1"/>
              <w:left w:val="single" w:color="0B1F33" w:sz="10"/>
              <w:bottom w:val="single" w:color="0B1F33" w:sz="6"/>
              <w:right w:val="single" w:color="A7B3BF" w:sz="2"/>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9380"/>
            <w:tcBorders>
              <w:top w:val="single" w:color="A7B3BF" w:sz="1"/>
              <w:left w:val="single" w:color="A7B3BF" w:sz="1"/>
              <w:bottom w:val="single" w:color="0B1F33" w:sz="6"/>
              <w:right w:val="single" w:color="0B1F33" w:sz="10"/>
            </w:tcBorders>
            <w:shd w:fill="FFFFFF" w:val="clear"/>
            <w:tcMar>
              <w:top w:type="dxa" w:w="100"/>
              <w:left w:type="dxa" w:w="160"/>
              <w:bottom w:type="dxa" w:w="100"/>
              <w:right w:type="dxa" w:w="160"/>
            </w:tcMar>
          </w:tcPr>
          <w:p>
            <w:r>
              <w:rPr>
                <w:rFonts w:ascii="Inter" w:cs="Inter" w:eastAsia="Inter" w:hAnsi="Inter"/>
                <w:color w:val="0B1F33"/>
                <w:sz w:val="20"/>
                <w:szCs w:val="20"/>
              </w:rPr>
              <w:t xml:space="preserve">Yes, regularly. Realistic exercises including leadership pressure-testing, used to continuously improve.</w:t>
            </w:r>
          </w:p>
        </w:tc>
      </w:tr>
    </w:tbl>
    <w:p>
      <w:pPr>
        <w:spacing w:after="220" w:before="0"/>
      </w:pPr>
      <w:r>
        <w:t xml:space="preserve"/>
      </w:r>
    </w:p>
    <w:p>
      <w:r>
        <w:br w:type="page"/>
      </w:r>
    </w:p>
    <w:p>
      <w:pPr>
        <w:pBdr>
          <w:bottom w:val="single" w:color="3A5A73" w:sz="8" w:space="4"/>
        </w:pBdr>
        <w:spacing w:after="200" w:before="280"/>
      </w:pPr>
      <w:r>
        <w:rPr>
          <w:rFonts w:ascii="Inter" w:cs="Inter" w:eastAsia="Inter" w:hAnsi="Inter"/>
          <w:b/>
          <w:bCs/>
          <w:color w:val="0B1F33"/>
          <w:sz w:val="26"/>
          <w:szCs w:val="26"/>
        </w:rPr>
        <w:t xml:space="preserve">YOUR SCORE</w:t>
      </w:r>
    </w:p>
    <w:p>
      <w:pPr>
        <w:spacing w:after="120" w:before="0"/>
      </w:pPr>
      <w:r>
        <w:rPr>
          <w:rFonts w:ascii="Inter" w:cs="Inter" w:eastAsia="Inter" w:hAnsi="Inter"/>
          <w:b/>
          <w:bCs/>
          <w:color w:val="0B1F33"/>
          <w:sz w:val="22"/>
          <w:szCs w:val="22"/>
        </w:rPr>
        <w:t xml:space="preserve">HOW TO CALCULATE</w:t>
      </w:r>
    </w:p>
    <w:p>
      <w:pPr>
        <w:spacing w:after="160" w:before="0"/>
      </w:pPr>
      <w:r>
        <w:rPr>
          <w:rFonts w:ascii="Inter" w:cs="Inter" w:eastAsia="Inter" w:hAnsi="Inter"/>
          <w:color w:val="0B1F33"/>
          <w:sz w:val="22"/>
          <w:szCs w:val="22"/>
        </w:rPr>
        <w:t xml:space="preserve">For each dimension, average your two question scores. For example, if you selected 2 and 3, your dimension score is 2.5. Your overall score is the weighted average across all five dimensions, using the weights below.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0"/>
        <w:gridCol w:w="2880"/>
      </w:tblGrid>
      <w:tr>
        <w:trPr>
          <w:tblHeader/>
        </w:trPr>
        <w:tc>
          <w:tcPr>
            <w:tcW w:type="dxa" w:w="720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Dimension</w:t>
            </w:r>
          </w:p>
        </w:tc>
        <w:tc>
          <w:tcPr>
            <w:tcW w:type="dxa" w:w="288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pPr>
              <w:jc w:val="center"/>
            </w:pPr>
            <w:r>
              <w:rPr>
                <w:rFonts w:ascii="Inter" w:cs="Inter" w:eastAsia="Inter" w:hAnsi="Inter"/>
                <w:b/>
                <w:bCs/>
                <w:color w:val="FFFFFF"/>
                <w:sz w:val="20"/>
                <w:szCs w:val="20"/>
              </w:rPr>
              <w:t xml:space="preserve">Weight</w:t>
            </w:r>
          </w:p>
        </w:tc>
      </w:tr>
      <w:tr>
        <w:tc>
          <w:tcPr>
            <w:tcW w:type="dxa" w:w="720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Outcome Clarity</w:t>
            </w:r>
          </w:p>
        </w:tc>
        <w:tc>
          <w:tcPr>
            <w:tcW w:type="dxa" w:w="288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pPr>
              <w:jc w:val="center"/>
            </w:pPr>
            <w:r>
              <w:rPr>
                <w:rFonts w:ascii="Inter" w:cs="Inter" w:eastAsia="Inter" w:hAnsi="Inter"/>
                <w:b/>
                <w:bCs/>
                <w:color w:val="0B1F33"/>
                <w:sz w:val="20"/>
                <w:szCs w:val="20"/>
              </w:rPr>
              <w:t xml:space="preserve">15%</w:t>
            </w:r>
          </w:p>
        </w:tc>
      </w:tr>
      <w:tr>
        <w:tc>
          <w:tcPr>
            <w:tcW w:type="dxa" w:w="720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color w:val="0B1F33"/>
                <w:sz w:val="20"/>
                <w:szCs w:val="20"/>
              </w:rPr>
              <w:t xml:space="preserve">Dependency Intelligence</w:t>
            </w:r>
          </w:p>
        </w:tc>
        <w:tc>
          <w:tcPr>
            <w:tcW w:type="dxa" w:w="288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pPr>
              <w:jc w:val="center"/>
            </w:pPr>
            <w:r>
              <w:rPr>
                <w:rFonts w:ascii="Inter" w:cs="Inter" w:eastAsia="Inter" w:hAnsi="Inter"/>
                <w:b/>
                <w:bCs/>
                <w:color w:val="0B1F33"/>
                <w:sz w:val="20"/>
                <w:szCs w:val="20"/>
              </w:rPr>
              <w:t xml:space="preserve">20%</w:t>
            </w:r>
          </w:p>
        </w:tc>
      </w:tr>
      <w:tr>
        <w:tc>
          <w:tcPr>
            <w:tcW w:type="dxa" w:w="720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Restoration Readiness</w:t>
            </w:r>
          </w:p>
        </w:tc>
        <w:tc>
          <w:tcPr>
            <w:tcW w:type="dxa" w:w="288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pPr>
              <w:jc w:val="center"/>
            </w:pPr>
            <w:r>
              <w:rPr>
                <w:rFonts w:ascii="Inter" w:cs="Inter" w:eastAsia="Inter" w:hAnsi="Inter"/>
                <w:b/>
                <w:bCs/>
                <w:color w:val="0B1F33"/>
                <w:sz w:val="20"/>
                <w:szCs w:val="20"/>
              </w:rPr>
              <w:t xml:space="preserve">30%</w:t>
            </w:r>
          </w:p>
        </w:tc>
      </w:tr>
      <w:tr>
        <w:tc>
          <w:tcPr>
            <w:tcW w:type="dxa" w:w="720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color w:val="0B1F33"/>
                <w:sz w:val="20"/>
                <w:szCs w:val="20"/>
              </w:rPr>
              <w:t xml:space="preserve">Plan Currency and Governance</w:t>
            </w:r>
          </w:p>
        </w:tc>
        <w:tc>
          <w:tcPr>
            <w:tcW w:type="dxa" w:w="288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pPr>
              <w:jc w:val="center"/>
            </w:pPr>
            <w:r>
              <w:rPr>
                <w:rFonts w:ascii="Inter" w:cs="Inter" w:eastAsia="Inter" w:hAnsi="Inter"/>
                <w:b/>
                <w:bCs/>
                <w:color w:val="0B1F33"/>
                <w:sz w:val="20"/>
                <w:szCs w:val="20"/>
              </w:rPr>
              <w:t xml:space="preserve">20%</w:t>
            </w:r>
          </w:p>
        </w:tc>
      </w:tr>
      <w:tr>
        <w:tc>
          <w:tcPr>
            <w:tcW w:type="dxa" w:w="720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Recovery Velocity</w:t>
            </w:r>
          </w:p>
        </w:tc>
        <w:tc>
          <w:tcPr>
            <w:tcW w:type="dxa" w:w="288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pPr>
              <w:jc w:val="center"/>
            </w:pPr>
            <w:r>
              <w:rPr>
                <w:rFonts w:ascii="Inter" w:cs="Inter" w:eastAsia="Inter" w:hAnsi="Inter"/>
                <w:b/>
                <w:bCs/>
                <w:color w:val="0B1F33"/>
                <w:sz w:val="20"/>
                <w:szCs w:val="20"/>
              </w:rPr>
              <w:t xml:space="preserve">15%</w:t>
            </w:r>
          </w:p>
        </w:tc>
      </w:tr>
    </w:tbl>
    <w:p>
      <w:pPr>
        <w:spacing w:after="200" w:before="0"/>
      </w:pPr>
      <w:r>
        <w:t xml:space="preserve"/>
      </w:r>
    </w:p>
    <w:p>
      <w:pPr>
        <w:pBdr>
          <w:left w:val="single" w:color="0B1F33" w:sz="20" w:space="4"/>
        </w:pBdr>
        <w:shd w:fill="EBF2F8" w:val="clear"/>
        <w:spacing w:after="240" w:before="0"/>
        <w:ind w:left="180" w:right="180"/>
      </w:pPr>
      <w:r>
        <w:rPr>
          <w:rFonts w:ascii="Inter" w:cs="Inter" w:eastAsia="Inter" w:hAnsi="Inter"/>
          <w:b/>
          <w:bCs/>
          <w:color w:val="0B1F33"/>
          <w:sz w:val="22"/>
          <w:szCs w:val="22"/>
        </w:rPr>
        <w:t xml:space="preserve">Note on Restoration Readiness: </w:t>
      </w:r>
      <w:r>
        <w:rPr>
          <w:rFonts w:ascii="Inter" w:cs="Inter" w:eastAsia="Inter" w:hAnsi="Inter"/>
          <w:color w:val="0B1F33"/>
          <w:sz w:val="22"/>
          <w:szCs w:val="22"/>
        </w:rPr>
        <w:t xml:space="preserve">This dimension carries the highest weight because it is the most direct predictor of whether an organization actually survives a severe outage. A low score here limits the practical value of strengths in other dimensions. Always identify your lowest-scoring dimension first — that is your floor.</w:t>
      </w:r>
    </w:p>
    <w:p>
      <w:pPr>
        <w:spacing w:after="180" w:before="120"/>
      </w:pPr>
      <w:r>
        <w:rPr>
          <w:rFonts w:ascii="Inter" w:cs="Inter" w:eastAsia="Inter" w:hAnsi="Inter"/>
          <w:b/>
          <w:bCs/>
          <w:color w:val="0B1F33"/>
          <w:sz w:val="22"/>
          <w:szCs w:val="22"/>
        </w:rPr>
        <w:t xml:space="preserve">WHAT YOUR SCORE MEANS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6480"/>
      </w:tblGrid>
      <w:tr>
        <w:trPr>
          <w:tblHeader/>
        </w:trPr>
        <w:tc>
          <w:tcPr>
            <w:tcW w:type="dxa" w:w="144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Score</w:t>
            </w:r>
          </w:p>
        </w:tc>
        <w:tc>
          <w:tcPr>
            <w:tcW w:type="dxa" w:w="216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Rating</w:t>
            </w:r>
          </w:p>
        </w:tc>
        <w:tc>
          <w:tcPr>
            <w:tcW w:type="dxa" w:w="648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What It Means</w:t>
            </w:r>
          </w:p>
        </w:tc>
      </w:tr>
      <w:tr>
        <w:tc>
          <w:tcPr>
            <w:tcW w:type="dxa" w:w="1440"/>
            <w:tcBorders>
              <w:top w:val="single" w:color="A7B3BF" w:sz="1"/>
              <w:left w:val="single" w:color="A7B3BF" w:sz="1"/>
              <w:bottom w:val="single" w:color="A7B3BF" w:sz="1"/>
              <w:right w:val="single" w:color="A7B3BF" w:sz="1"/>
            </w:tcBorders>
            <w:shd w:fill="FEE2E2" w:val="clear"/>
            <w:tcMar>
              <w:top w:type="dxa" w:w="100"/>
              <w:left w:type="dxa" w:w="120"/>
              <w:bottom w:type="dxa" w:w="100"/>
              <w:right w:type="dxa" w:w="120"/>
            </w:tcMar>
            <w:vAlign w:val="center"/>
          </w:tcPr>
          <w:p>
            <w:pPr>
              <w:jc w:val="center"/>
            </w:pPr>
            <w:r>
              <w:rPr>
                <w:rFonts w:ascii="Inter" w:cs="Inter" w:eastAsia="Inter" w:hAnsi="Inter"/>
                <w:b/>
                <w:bCs/>
                <w:color w:val="DC2626"/>
                <w:sz w:val="20"/>
                <w:szCs w:val="20"/>
              </w:rPr>
              <w:t xml:space="preserve">1.0 – 1.9</w:t>
            </w:r>
          </w:p>
        </w:tc>
        <w:tc>
          <w:tcPr>
            <w:tcW w:type="dxa" w:w="2160"/>
            <w:tcBorders>
              <w:top w:val="single" w:color="A7B3BF" w:sz="1"/>
              <w:left w:val="single" w:color="A7B3BF" w:sz="1"/>
              <w:bottom w:val="single" w:color="A7B3BF" w:sz="1"/>
              <w:right w:val="single" w:color="A7B3BF" w:sz="1"/>
            </w:tcBorders>
            <w:shd w:fill="FEE2E2" w:val="clear"/>
            <w:tcMar>
              <w:top w:type="dxa" w:w="100"/>
              <w:left w:type="dxa" w:w="120"/>
              <w:bottom w:type="dxa" w:w="100"/>
              <w:right w:type="dxa" w:w="120"/>
            </w:tcMar>
            <w:vAlign w:val="center"/>
          </w:tcPr>
          <w:p>
            <w:r>
              <w:rPr>
                <w:rFonts w:ascii="Inter" w:cs="Inter" w:eastAsia="Inter" w:hAnsi="Inter"/>
                <w:b/>
                <w:bCs/>
                <w:color w:val="DC2626"/>
                <w:sz w:val="20"/>
                <w:szCs w:val="20"/>
              </w:rPr>
              <w:t xml:space="preserve">Critical Exposure</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40"/>
              <w:bottom w:type="dxa" w:w="100"/>
              <w:right w:type="dxa" w:w="140"/>
            </w:tcMar>
          </w:tcPr>
          <w:p>
            <w:r>
              <w:rPr>
                <w:rFonts w:ascii="Inter" w:cs="Inter" w:eastAsia="Inter" w:hAnsi="Inter"/>
                <w:color w:val="0B1F33"/>
                <w:sz w:val="20"/>
                <w:szCs w:val="20"/>
              </w:rPr>
              <w:t xml:space="preserve">Your organization is not prepared to recover from a severe outage. The gaps are foundational, not incremental.</w:t>
            </w:r>
          </w:p>
        </w:tc>
      </w:tr>
      <w:tr>
        <w:tc>
          <w:tcPr>
            <w:tcW w:type="dxa" w:w="1440"/>
            <w:tcBorders>
              <w:top w:val="single" w:color="A7B3BF" w:sz="1"/>
              <w:left w:val="single" w:color="A7B3BF" w:sz="1"/>
              <w:bottom w:val="single" w:color="A7B3BF" w:sz="1"/>
              <w:right w:val="single" w:color="A7B3BF" w:sz="1"/>
            </w:tcBorders>
            <w:shd w:fill="FEF3C7" w:val="clear"/>
            <w:tcMar>
              <w:top w:type="dxa" w:w="100"/>
              <w:left w:type="dxa" w:w="120"/>
              <w:bottom w:type="dxa" w:w="100"/>
              <w:right w:type="dxa" w:w="120"/>
            </w:tcMar>
            <w:vAlign w:val="center"/>
          </w:tcPr>
          <w:p>
            <w:pPr>
              <w:jc w:val="center"/>
            </w:pPr>
            <w:r>
              <w:rPr>
                <w:rFonts w:ascii="Inter" w:cs="Inter" w:eastAsia="Inter" w:hAnsi="Inter"/>
                <w:b/>
                <w:bCs/>
                <w:color w:val="D97706"/>
                <w:sz w:val="20"/>
                <w:szCs w:val="20"/>
              </w:rPr>
              <w:t xml:space="preserve">2.0 – 2.9</w:t>
            </w:r>
          </w:p>
        </w:tc>
        <w:tc>
          <w:tcPr>
            <w:tcW w:type="dxa" w:w="2160"/>
            <w:tcBorders>
              <w:top w:val="single" w:color="A7B3BF" w:sz="1"/>
              <w:left w:val="single" w:color="A7B3BF" w:sz="1"/>
              <w:bottom w:val="single" w:color="A7B3BF" w:sz="1"/>
              <w:right w:val="single" w:color="A7B3BF" w:sz="1"/>
            </w:tcBorders>
            <w:shd w:fill="FEF3C7" w:val="clear"/>
            <w:tcMar>
              <w:top w:type="dxa" w:w="100"/>
              <w:left w:type="dxa" w:w="120"/>
              <w:bottom w:type="dxa" w:w="100"/>
              <w:right w:type="dxa" w:w="120"/>
            </w:tcMar>
            <w:vAlign w:val="center"/>
          </w:tcPr>
          <w:p>
            <w:r>
              <w:rPr>
                <w:rFonts w:ascii="Inter" w:cs="Inter" w:eastAsia="Inter" w:hAnsi="Inter"/>
                <w:b/>
                <w:bCs/>
                <w:color w:val="D97706"/>
                <w:sz w:val="20"/>
                <w:szCs w:val="20"/>
              </w:rPr>
              <w:t xml:space="preserve">High Risk</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40"/>
              <w:bottom w:type="dxa" w:w="100"/>
              <w:right w:type="dxa" w:w="140"/>
            </w:tcMar>
          </w:tcPr>
          <w:p>
            <w:r>
              <w:rPr>
                <w:rFonts w:ascii="Inter" w:cs="Inter" w:eastAsia="Inter" w:hAnsi="Inter"/>
                <w:color w:val="0B1F33"/>
                <w:sz w:val="20"/>
                <w:szCs w:val="20"/>
              </w:rPr>
              <w:t xml:space="preserve">Foundational capabilities are missing. A severe outage would likely result in extended, uncontrolled downtime.</w:t>
            </w:r>
          </w:p>
        </w:tc>
      </w:tr>
      <w:tr>
        <w:tc>
          <w:tcPr>
            <w:tcW w:type="dxa" w:w="1440"/>
            <w:tcBorders>
              <w:top w:val="single" w:color="A7B3BF" w:sz="1"/>
              <w:left w:val="single" w:color="A7B3BF" w:sz="1"/>
              <w:bottom w:val="single" w:color="A7B3BF" w:sz="1"/>
              <w:right w:val="single" w:color="A7B3BF" w:sz="1"/>
            </w:tcBorders>
            <w:shd w:fill="FEFCE8" w:val="clear"/>
            <w:tcMar>
              <w:top w:type="dxa" w:w="100"/>
              <w:left w:type="dxa" w:w="120"/>
              <w:bottom w:type="dxa" w:w="100"/>
              <w:right w:type="dxa" w:w="120"/>
            </w:tcMar>
            <w:vAlign w:val="center"/>
          </w:tcPr>
          <w:p>
            <w:pPr>
              <w:jc w:val="center"/>
            </w:pPr>
            <w:r>
              <w:rPr>
                <w:rFonts w:ascii="Inter" w:cs="Inter" w:eastAsia="Inter" w:hAnsi="Inter"/>
                <w:b/>
                <w:bCs/>
                <w:color w:val="A16207"/>
                <w:sz w:val="20"/>
                <w:szCs w:val="20"/>
              </w:rPr>
              <w:t xml:space="preserve">3.0 – 3.9</w:t>
            </w:r>
          </w:p>
        </w:tc>
        <w:tc>
          <w:tcPr>
            <w:tcW w:type="dxa" w:w="2160"/>
            <w:tcBorders>
              <w:top w:val="single" w:color="A7B3BF" w:sz="1"/>
              <w:left w:val="single" w:color="A7B3BF" w:sz="1"/>
              <w:bottom w:val="single" w:color="A7B3BF" w:sz="1"/>
              <w:right w:val="single" w:color="A7B3BF" w:sz="1"/>
            </w:tcBorders>
            <w:shd w:fill="FEFCE8" w:val="clear"/>
            <w:tcMar>
              <w:top w:type="dxa" w:w="100"/>
              <w:left w:type="dxa" w:w="120"/>
              <w:bottom w:type="dxa" w:w="100"/>
              <w:right w:type="dxa" w:w="120"/>
            </w:tcMar>
            <w:vAlign w:val="center"/>
          </w:tcPr>
          <w:p>
            <w:r>
              <w:rPr>
                <w:rFonts w:ascii="Inter" w:cs="Inter" w:eastAsia="Inter" w:hAnsi="Inter"/>
                <w:b/>
                <w:bCs/>
                <w:color w:val="A16207"/>
                <w:sz w:val="20"/>
                <w:szCs w:val="20"/>
              </w:rPr>
              <w:t xml:space="preserve">Developing</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40"/>
              <w:bottom w:type="dxa" w:w="100"/>
              <w:right w:type="dxa" w:w="140"/>
            </w:tcMar>
          </w:tcPr>
          <w:p>
            <w:r>
              <w:rPr>
                <w:rFonts w:ascii="Inter" w:cs="Inter" w:eastAsia="Inter" w:hAnsi="Inter"/>
                <w:color w:val="0B1F33"/>
                <w:sz w:val="20"/>
                <w:szCs w:val="20"/>
              </w:rPr>
              <w:t xml:space="preserve">Some capabilities are in place but significant gaps remain, particularly in the dimensions that matter most under pressure.</w:t>
            </w:r>
          </w:p>
        </w:tc>
      </w:tr>
      <w:tr>
        <w:tc>
          <w:tcPr>
            <w:tcW w:type="dxa" w:w="1440"/>
            <w:tcBorders>
              <w:top w:val="single" w:color="A7B3BF" w:sz="1"/>
              <w:left w:val="single" w:color="A7B3BF" w:sz="1"/>
              <w:bottom w:val="single" w:color="A7B3BF" w:sz="1"/>
              <w:right w:val="single" w:color="A7B3BF" w:sz="1"/>
            </w:tcBorders>
            <w:shd w:fill="DCFCE7" w:val="clear"/>
            <w:tcMar>
              <w:top w:type="dxa" w:w="100"/>
              <w:left w:type="dxa" w:w="120"/>
              <w:bottom w:type="dxa" w:w="100"/>
              <w:right w:type="dxa" w:w="120"/>
            </w:tcMar>
            <w:vAlign w:val="center"/>
          </w:tcPr>
          <w:p>
            <w:pPr>
              <w:jc w:val="center"/>
            </w:pPr>
            <w:r>
              <w:rPr>
                <w:rFonts w:ascii="Inter" w:cs="Inter" w:eastAsia="Inter" w:hAnsi="Inter"/>
                <w:b/>
                <w:bCs/>
                <w:color w:val="16A34A"/>
                <w:sz w:val="20"/>
                <w:szCs w:val="20"/>
              </w:rPr>
              <w:t xml:space="preserve">4.0 – 4.5</w:t>
            </w:r>
          </w:p>
        </w:tc>
        <w:tc>
          <w:tcPr>
            <w:tcW w:type="dxa" w:w="2160"/>
            <w:tcBorders>
              <w:top w:val="single" w:color="A7B3BF" w:sz="1"/>
              <w:left w:val="single" w:color="A7B3BF" w:sz="1"/>
              <w:bottom w:val="single" w:color="A7B3BF" w:sz="1"/>
              <w:right w:val="single" w:color="A7B3BF" w:sz="1"/>
            </w:tcBorders>
            <w:shd w:fill="DCFCE7" w:val="clear"/>
            <w:tcMar>
              <w:top w:type="dxa" w:w="100"/>
              <w:left w:type="dxa" w:w="120"/>
              <w:bottom w:type="dxa" w:w="100"/>
              <w:right w:type="dxa" w:w="120"/>
            </w:tcMar>
            <w:vAlign w:val="center"/>
          </w:tcPr>
          <w:p>
            <w:r>
              <w:rPr>
                <w:rFonts w:ascii="Inter" w:cs="Inter" w:eastAsia="Inter" w:hAnsi="Inter"/>
                <w:b/>
                <w:bCs/>
                <w:color w:val="16A34A"/>
                <w:sz w:val="20"/>
                <w:szCs w:val="20"/>
              </w:rPr>
              <w:t xml:space="preserve">Capable</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40"/>
              <w:bottom w:type="dxa" w:w="100"/>
              <w:right w:type="dxa" w:w="140"/>
            </w:tcMar>
          </w:tcPr>
          <w:p>
            <w:r>
              <w:rPr>
                <w:rFonts w:ascii="Inter" w:cs="Inter" w:eastAsia="Inter" w:hAnsi="Inter"/>
                <w:color w:val="0B1F33"/>
                <w:sz w:val="20"/>
                <w:szCs w:val="20"/>
              </w:rPr>
              <w:t xml:space="preserve">Strong foundation with targeted gaps. Ongoing validation is what separates you from genuine resilience.</w:t>
            </w:r>
          </w:p>
        </w:tc>
      </w:tr>
      <w:tr>
        <w:tc>
          <w:tcPr>
            <w:tcW w:type="dxa" w:w="1440"/>
            <w:tcBorders>
              <w:top w:val="single" w:color="A7B3BF" w:sz="1"/>
              <w:left w:val="single" w:color="A7B3BF" w:sz="1"/>
              <w:bottom w:val="single" w:color="A7B3BF" w:sz="1"/>
              <w:right w:val="single" w:color="A7B3BF" w:sz="1"/>
            </w:tcBorders>
            <w:shd w:fill="D1FAE5" w:val="clear"/>
            <w:tcMar>
              <w:top w:type="dxa" w:w="100"/>
              <w:left w:type="dxa" w:w="120"/>
              <w:bottom w:type="dxa" w:w="100"/>
              <w:right w:type="dxa" w:w="120"/>
            </w:tcMar>
            <w:vAlign w:val="center"/>
          </w:tcPr>
          <w:p>
            <w:pPr>
              <w:jc w:val="center"/>
            </w:pPr>
            <w:r>
              <w:rPr>
                <w:rFonts w:ascii="Inter" w:cs="Inter" w:eastAsia="Inter" w:hAnsi="Inter"/>
                <w:b/>
                <w:bCs/>
                <w:color w:val="059669"/>
                <w:sz w:val="20"/>
                <w:szCs w:val="20"/>
              </w:rPr>
              <w:t xml:space="preserve">4.6 – 5.0</w:t>
            </w:r>
          </w:p>
        </w:tc>
        <w:tc>
          <w:tcPr>
            <w:tcW w:type="dxa" w:w="2160"/>
            <w:tcBorders>
              <w:top w:val="single" w:color="A7B3BF" w:sz="1"/>
              <w:left w:val="single" w:color="A7B3BF" w:sz="1"/>
              <w:bottom w:val="single" w:color="A7B3BF" w:sz="1"/>
              <w:right w:val="single" w:color="A7B3BF" w:sz="1"/>
            </w:tcBorders>
            <w:shd w:fill="D1FAE5" w:val="clear"/>
            <w:tcMar>
              <w:top w:type="dxa" w:w="100"/>
              <w:left w:type="dxa" w:w="120"/>
              <w:bottom w:type="dxa" w:w="100"/>
              <w:right w:type="dxa" w:w="120"/>
            </w:tcMar>
            <w:vAlign w:val="center"/>
          </w:tcPr>
          <w:p>
            <w:r>
              <w:rPr>
                <w:rFonts w:ascii="Inter" w:cs="Inter" w:eastAsia="Inter" w:hAnsi="Inter"/>
                <w:b/>
                <w:bCs/>
                <w:color w:val="059669"/>
                <w:sz w:val="20"/>
                <w:szCs w:val="20"/>
              </w:rPr>
              <w:t xml:space="preserve">Resilient</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40"/>
              <w:bottom w:type="dxa" w:w="100"/>
              <w:right w:type="dxa" w:w="140"/>
            </w:tcMar>
          </w:tcPr>
          <w:p>
            <w:r>
              <w:rPr>
                <w:rFonts w:ascii="Inter" w:cs="Inter" w:eastAsia="Inter" w:hAnsi="Inter"/>
                <w:color w:val="0B1F33"/>
                <w:sz w:val="20"/>
                <w:szCs w:val="20"/>
              </w:rPr>
              <w:t xml:space="preserve">Advanced capability across all dimensions. The focus is continuous improvement and independent validation.</w:t>
            </w:r>
          </w:p>
        </w:tc>
      </w:tr>
    </w:tbl>
    <w:p>
      <w:pPr>
        <w:spacing w:after="200" w:before="0"/>
      </w:pPr>
      <w:r>
        <w:t xml:space="preserve"/>
      </w:r>
    </w:p>
    <w:p>
      <w:pPr>
        <w:spacing w:after="120" w:before="0"/>
      </w:pPr>
      <w:r>
        <w:rPr>
          <w:rFonts w:ascii="Inter" w:cs="Inter" w:eastAsia="Inter" w:hAnsi="Inter"/>
          <w:b/>
          <w:bCs/>
          <w:color w:val="0B1F33"/>
          <w:sz w:val="22"/>
          <w:szCs w:val="22"/>
        </w:rPr>
        <w:t xml:space="preserve">YOUR DIMENSION PROFILE</w:t>
      </w:r>
    </w:p>
    <w:p>
      <w:pPr>
        <w:spacing w:after="160" w:before="0"/>
      </w:pPr>
      <w:r>
        <w:rPr>
          <w:rFonts w:ascii="Inter" w:cs="Inter" w:eastAsia="Inter" w:hAnsi="Inter"/>
          <w:color w:val="0B1F33"/>
          <w:sz w:val="22"/>
          <w:szCs w:val="22"/>
        </w:rPr>
        <w:t xml:space="preserve">Your overall score matters less than your dimension profile. The lowest-scoring dimension is your floor — it caps what the overall score can mean in practice. An organization with a strong overall score but a score of 1 or 2 on Restoration Readiness is not genuinely resilient. Identify your floor dimension first. That is where investment produces the most immediate impact on actual recovery capability.</w:t>
      </w:r>
    </w:p>
    <w:p>
      <w:r>
        <w:br w:type="page"/>
      </w:r>
    </w:p>
    <w:p>
      <w:pPr>
        <w:pBdr>
          <w:bottom w:val="single" w:color="3A5A73" w:sz="8" w:space="4"/>
        </w:pBdr>
        <w:spacing w:after="200" w:before="280"/>
      </w:pPr>
      <w:r>
        <w:rPr>
          <w:rFonts w:ascii="Inter" w:cs="Inter" w:eastAsia="Inter" w:hAnsi="Inter"/>
          <w:b/>
          <w:bCs/>
          <w:color w:val="0B1F33"/>
          <w:sz w:val="26"/>
          <w:szCs w:val="26"/>
        </w:rPr>
        <w:t xml:space="preserve">NEXT STEPS</w:t>
      </w:r>
    </w:p>
    <w:p>
      <w:pPr>
        <w:spacing w:after="160" w:before="0"/>
      </w:pPr>
      <w:r>
        <w:rPr>
          <w:rFonts w:ascii="Inter" w:cs="Inter" w:eastAsia="Inter" w:hAnsi="Inter"/>
          <w:color w:val="0B1F33"/>
          <w:sz w:val="22"/>
          <w:szCs w:val="22"/>
        </w:rPr>
        <w:t xml:space="preserve">This assessment reflects your perception of organizational readiness. Perception and reality often differ — and the gap between them is precisely where the greatest risk hides.</w:t>
      </w:r>
    </w:p>
    <w:p>
      <w:pPr>
        <w:spacing w:after="100" w:before="200"/>
      </w:pPr>
      <w:r>
        <w:rPr>
          <w:rFonts w:ascii="Inter" w:cs="Inter" w:eastAsia="Inter" w:hAnsi="Inter"/>
          <w:b/>
          <w:bCs/>
          <w:color w:val="0B1F33"/>
          <w:sz w:val="24"/>
          <w:szCs w:val="24"/>
        </w:rPr>
        <w:t xml:space="preserve">Resilience Journey Assessment</w:t>
      </w:r>
    </w:p>
    <w:p>
      <w:pPr>
        <w:spacing w:after="160" w:before="0"/>
      </w:pPr>
      <w:r>
        <w:rPr>
          <w:rFonts w:ascii="Inter" w:cs="Inter" w:eastAsia="Inter" w:hAnsi="Inter"/>
          <w:color w:val="0B1F33"/>
          <w:sz w:val="22"/>
          <w:szCs w:val="22"/>
        </w:rPr>
        <w:t xml:space="preserve">A facilitated workshop for your board and senior leadership team that validates your score against evidence — what your organization can actually demonstrate, not what it believes to be true. The Resilience Journey Assessment reveals the gap between perceived and actual readiness, identifies your highest-impact gaps, and produces a prioritized roadmap for closing them.</w:t>
      </w:r>
    </w:p>
    <w:p>
      <w:pPr>
        <w:spacing w:after="100" w:before="160"/>
      </w:pPr>
      <w:r>
        <w:rPr>
          <w:rFonts w:ascii="Inter" w:cs="Inter" w:eastAsia="Inter" w:hAnsi="Inter"/>
          <w:b/>
          <w:bCs/>
          <w:color w:val="0B1F33"/>
          <w:sz w:val="24"/>
          <w:szCs w:val="24"/>
        </w:rPr>
        <w:t xml:space="preserve">Resilience Management as a Service</w:t>
      </w:r>
    </w:p>
    <w:p>
      <w:pPr>
        <w:spacing w:after="160" w:before="0"/>
      </w:pPr>
      <w:r>
        <w:rPr>
          <w:rFonts w:ascii="Inter" w:cs="Inter" w:eastAsia="Inter" w:hAnsi="Inter"/>
          <w:color w:val="0B1F33"/>
          <w:sz w:val="22"/>
          <w:szCs w:val="22"/>
        </w:rPr>
        <w:t xml:space="preserve">For organizations ready to move beyond assessment to active resilience management: ongoing independent oversight, AI-assisted dependency mapping and plan currency, regular board reporting on validated readiness, and continuous stress-testing as your environment and the threat landscape evolve.</w:t>
      </w:r>
    </w:p>
    <w:p>
      <w:pPr>
        <w:spacing w:after="100" w:before="160"/>
      </w:pPr>
      <w:r>
        <w:rPr>
          <w:rFonts w:ascii="Inter" w:cs="Inter" w:eastAsia="Inter" w:hAnsi="Inter"/>
          <w:b/>
          <w:bCs/>
          <w:color w:val="0B1F33"/>
          <w:sz w:val="24"/>
          <w:szCs w:val="24"/>
        </w:rPr>
        <w:t xml:space="preserve">Cyber Resilience Education</w:t>
      </w:r>
    </w:p>
    <w:p>
      <w:pPr>
        <w:spacing w:after="160" w:before="0"/>
      </w:pPr>
      <w:r>
        <w:rPr>
          <w:rFonts w:ascii="Inter" w:cs="Inter" w:eastAsia="Inter" w:hAnsi="Inter"/>
          <w:color w:val="0B1F33"/>
          <w:sz w:val="22"/>
          <w:szCs w:val="22"/>
        </w:rPr>
        <w:t xml:space="preserve">Leadership and operator education programs that build the organizational capability to execute recovery under real-world pressure. The best plan fails without the team to execute it.</w:t>
      </w:r>
    </w:p>
    <w:p>
      <w:pPr>
        <w:spacing w:after="0" w:before="200"/>
      </w:pPr>
      <w:r>
        <w:t xml:space="preserve"/>
      </w:r>
    </w:p>
    <w:p>
      <w:pPr>
        <w:pBdr>
          <w:top w:val="single" w:color="3A5A73" w:sz="4" w:space="6"/>
          <w:left w:val="single" w:color="0B1F33" w:sz="20" w:space="6"/>
          <w:right w:val="single" w:color="3A5A73" w:sz="4" w:space="6"/>
        </w:pBdr>
        <w:shd w:fill="F4F6F8" w:val="clear"/>
        <w:spacing w:after="0" w:before="0"/>
        <w:ind w:left="720" w:right="720"/>
        <w:jc w:val="center"/>
      </w:pPr>
      <w:r>
        <w:rPr>
          <w:rFonts w:ascii="Inter" w:cs="Inter" w:eastAsia="Inter" w:hAnsi="Inter"/>
          <w:color w:val="0B1F33"/>
          <w:sz w:val="22"/>
          <w:szCs w:val="22"/>
        </w:rPr>
        <w:t xml:space="preserve">To validate your score and begin your resilience journey:</w:t>
      </w:r>
    </w:p>
    <w:p>
      <w:pPr>
        <w:shd w:fill="F4F6F8" w:val="clear"/>
        <w:spacing w:after="0" w:before="0"/>
        <w:ind w:left="720" w:right="720"/>
        <w:jc w:val="center"/>
      </w:pPr>
      <w:r>
        <w:rPr>
          <w:rFonts w:ascii="Inter" w:cs="Inter" w:eastAsia="Inter" w:hAnsi="Inter"/>
          <w:b/>
          <w:bCs/>
          <w:color w:val="4FA3D1"/>
          <w:sz w:val="32"/>
          <w:szCs w:val="32"/>
        </w:rPr>
        <w:t xml:space="preserve">ResiliencebyDesign.com</w:t>
      </w:r>
    </w:p>
    <w:p>
      <w:pPr>
        <w:pBdr>
          <w:left w:val="single" w:color="0B1F33" w:sz="20" w:space="6"/>
          <w:bottom w:val="single" w:color="3A5A73" w:sz="4" w:space="6"/>
          <w:right w:val="single" w:color="3A5A73" w:sz="4" w:space="6"/>
        </w:pBdr>
        <w:shd w:fill="F4F6F8" w:val="clear"/>
        <w:spacing w:after="0" w:before="0"/>
        <w:ind w:left="720" w:right="720"/>
        <w:jc w:val="center"/>
      </w:pPr>
      <w:r>
        <w:rPr>
          <w:rFonts w:ascii="Inter" w:cs="Inter" w:eastAsia="Inter" w:hAnsi="Inter"/>
          <w:color w:val="A7B3BF"/>
          <w:sz w:val="20"/>
          <w:szCs w:val="20"/>
        </w:rPr>
        <w:t xml:space="preserve">Board Advisory  ·  Cyber Resilience Education  ·  Resilience Management as a Service</w:t>
      </w:r>
    </w:p>
    <w:p>
      <w:pPr>
        <w:spacing w:after="80" w:before="480"/>
      </w:pPr>
      <w:r>
        <w:rPr>
          <w:rFonts w:ascii="Inter" w:cs="Inter" w:eastAsia="Inter" w:hAnsi="Inter"/>
          <w:b/>
          <w:bCs/>
          <w:color w:val="A7B3BF"/>
          <w:sz w:val="20"/>
          <w:szCs w:val="20"/>
        </w:rPr>
        <w:t xml:space="preserve">METHODOLOGY NOTE</w:t>
      </w:r>
    </w:p>
    <w:p>
      <w:pPr>
        <w:spacing w:after="0" w:before="0"/>
      </w:pPr>
      <w:r>
        <w:rPr>
          <w:rFonts w:ascii="Inter" w:cs="Inter" w:eastAsia="Inter" w:hAnsi="Inter"/>
          <w:i/>
          <w:iCs/>
          <w:color w:val="A7B3BF"/>
          <w:sz w:val="18"/>
          <w:szCs w:val="18"/>
        </w:rPr>
        <w:t xml:space="preserve">This assessment framework maps to the NIST Cybersecurity Framework 2.0, the Digital Operational Resilience Act (DORA), Cyber Risk Profile 2.0, the Sheltered Harbor Maturity Model for Recovery from a Severe Outage, and the Cyber Resilience Capability Maturity Model. Framework mapping detail is available in the accompanying Methodology and Framework Reference document upon request.</w:t>
      </w:r>
    </w:p>
    <w:sectPr>
      <w:headerReference w:type="default" r:id="rId7"/>
      <w:footerReference w:type="default" r:id="rId8"/>
      <w:type w:val="nextPage"/>
      <w:pgSz w:w="12240" w:h="15840" w:orient="portrait"/>
      <w:pgMar w:top="1300" w:right="1080" w:bottom="12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A5A73" w:sz="4" w:space="4"/>
      </w:pBdr>
      <w:tabs>
        <w:tab w:val="right" w:pos="10080"/>
      </w:tabs>
    </w:pPr>
    <w:r>
      <w:rPr>
        <w:rFonts w:ascii="Inter" w:cs="Inter" w:eastAsia="Inter" w:hAnsi="Inter"/>
        <w:color w:val="A7B3BF"/>
        <w:sz w:val="16"/>
        <w:szCs w:val="16"/>
      </w:rPr>
      <w:t xml:space="preserve">© 2026 Resilience by Design. All rights reserved.</w:t>
    </w:r>
    <w:r>
      <w:t xml:space="preserve">	Page </w:t>
    </w:r>
    <w:r>
      <w:rPr>
        <w:rFonts w:ascii="Inter" w:cs="Inter" w:eastAsia="Inter" w:hAnsi="Inter"/>
        <w:color w:val="A7B3BF"/>
        <w:sz w:val="16"/>
        <w:szCs w:val="16"/>
      </w:rPr>
      <w:fldChar w:fldCharType="begin"/>
      <w:instrText xml:space="preserve">PAGE</w:instrText>
      <w:fldChar w:fldCharType="separate"/>
      <w:fldChar w:fldCharType="end"/>
    </w:r>
    <w:r>
      <w:rPr>
        <w:rFonts w:ascii="Inter" w:cs="Inter" w:eastAsia="Inter" w:hAnsi="Inter"/>
        <w:color w:val="A7B3BF"/>
        <w:sz w:val="16"/>
        <w:szCs w:val="16"/>
      </w:rPr>
      <w:t xml:space="preserve"> of </w:t>
    </w:r>
    <w:r>
      <w:rPr>
        <w:rFonts w:ascii="Inter" w:cs="Inter" w:eastAsia="Inter" w:hAnsi="Inter"/>
        <w:color w:val="A7B3BF"/>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3A5A73" w:sz="6" w:space="4"/>
      </w:pBdr>
      <w:tabs>
        <w:tab w:val="right" w:pos="10080"/>
      </w:tabs>
    </w:pPr>
    <w:r>
      <w:rPr>
        <w:rFonts w:ascii="Inter" w:cs="Inter" w:eastAsia="Inter" w:hAnsi="Inter"/>
        <w:b/>
        <w:bCs/>
        <w:color w:val="0B1F33"/>
        <w:sz w:val="18"/>
        <w:szCs w:val="18"/>
      </w:rPr>
      <w:t xml:space="preserve">CYBER RECOVERY READINESS ASSESSMENT</w:t>
    </w:r>
    <w:r>
      <w:t xml:space="preserve">	</w:t>
    </w:r>
    <w:r>
      <w:rPr>
        <w:rFonts w:ascii="Inter" w:cs="Inter" w:eastAsia="Inter" w:hAnsi="Inter"/>
        <w:color w:val="4FA3D1"/>
        <w:sz w:val="18"/>
        <w:szCs w:val="18"/>
      </w:rPr>
      <w:t xml:space="preserve">ResiliencebyDesign.com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ff6537aeba4f662cf50ead149fb9812c7f4c73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2026-06-08T02:21:11.982Z</dcterms:created>
  <dcterms:modified xsi:type="dcterms:W3CDTF">2026-06-08T02:21:11.987Z</dcterms:modified>
</cp:coreProperties>
</file>

<file path=docProps/custom.xml><?xml version="1.0" encoding="utf-8"?>
<Properties xmlns="http://schemas.openxmlformats.org/officeDocument/2006/custom-properties" xmlns:vt="http://schemas.openxmlformats.org/officeDocument/2006/docPropsVTypes"/>
</file>