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before="0"/>
      </w:pPr>
      <w:r>
        <w:t xml:space="preserve"/>
      </w:r>
    </w:p>
    <w:p>
      <w:pPr>
        <w:spacing w:after="720" w:before="0"/>
        <w:jc w:val="center"/>
      </w:pPr>
      <w:r>
        <w:drawing>
          <wp:inline distT="0" distB="0" distL="0" distR="0">
            <wp:extent cx="1905000" cy="638175"/>
            <wp:effectExtent t="0" r="0" b="0" l="0"/>
            <wp:docPr id="1" name="Logo" descr="Logo" title="Resilience b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638175"/>
                    </a:xfrm>
                    <a:prstGeom prst="rect">
                      <a:avLst/>
                    </a:prstGeom>
                  </pic:spPr>
                </pic:pic>
              </a:graphicData>
            </a:graphic>
          </wp:inline>
        </w:drawing>
      </w:r>
    </w:p>
    <w:p>
      <w:pPr>
        <w:pBdr>
          <w:bottom w:val="single" w:color="0B1F33" w:sz="16" w:space="1"/>
        </w:pBdr>
        <w:spacing w:after="520" w:before="0"/>
      </w:pPr>
      <w:r>
        <w:t xml:space="preserve"/>
      </w:r>
    </w:p>
    <w:p>
      <w:pPr>
        <w:spacing w:after="160" w:before="0"/>
        <w:jc w:val="center"/>
      </w:pPr>
      <w:r>
        <w:rPr>
          <w:rFonts w:ascii="Inter" w:cs="Inter" w:eastAsia="Inter" w:hAnsi="Inter"/>
          <w:b/>
          <w:bCs/>
          <w:color w:val="0B1F33"/>
          <w:sz w:val="44"/>
          <w:szCs w:val="44"/>
        </w:rPr>
        <w:t xml:space="preserve">RESILIENCE READINESS ASSESSMENT</w:t>
      </w:r>
    </w:p>
    <w:p>
      <w:pPr>
        <w:spacing w:after="160" w:before="0"/>
        <w:jc w:val="center"/>
      </w:pPr>
      <w:r>
        <w:rPr>
          <w:rFonts w:ascii="Inter" w:cs="Inter" w:eastAsia="Inter" w:hAnsi="Inter"/>
          <w:b/>
          <w:bCs/>
          <w:color w:val="3A5A73"/>
          <w:sz w:val="44"/>
          <w:szCs w:val="44"/>
        </w:rPr>
        <w:t xml:space="preserve">SCORING METHODOLOGY &amp;</w:t>
      </w:r>
    </w:p>
    <w:p>
      <w:pPr>
        <w:spacing w:after="320" w:before="0"/>
        <w:jc w:val="center"/>
      </w:pPr>
      <w:r>
        <w:rPr>
          <w:rFonts w:ascii="Inter" w:cs="Inter" w:eastAsia="Inter" w:hAnsi="Inter"/>
          <w:b/>
          <w:bCs/>
          <w:color w:val="3A5A73"/>
          <w:sz w:val="44"/>
          <w:szCs w:val="44"/>
        </w:rPr>
        <w:t xml:space="preserve">FRAMEWORK REFERENCE</w:t>
      </w:r>
    </w:p>
    <w:p>
      <w:pPr>
        <w:spacing w:after="520" w:before="0"/>
        <w:jc w:val="center"/>
      </w:pPr>
      <w:r>
        <w:rPr>
          <w:rFonts w:ascii="Inter" w:cs="Inter" w:eastAsia="Inter" w:hAnsi="Inter"/>
          <w:i/>
          <w:iCs/>
          <w:color w:val="4FA3D1"/>
          <w:sz w:val="24"/>
          <w:szCs w:val="24"/>
        </w:rPr>
        <w:t xml:space="preserve">The methodological basis for the Cyber Recovery Readiness Assessment and Resilience Journey Assessment</w:t>
      </w:r>
    </w:p>
    <w:p>
      <w:pPr>
        <w:pBdr>
          <w:bottom w:val="single" w:color="4FA3D1" w:sz="4" w:space="1"/>
        </w:pBdr>
        <w:spacing w:after="480" w:before="0"/>
      </w:pPr>
      <w:r>
        <w:t xml:space="preserve"/>
      </w:r>
    </w:p>
    <w:p>
      <w:pPr>
        <w:spacing w:after="120" w:before="0"/>
        <w:jc w:val="center"/>
      </w:pPr>
      <w:r>
        <w:rPr>
          <w:rFonts w:ascii="Inter" w:cs="Inter" w:eastAsia="Inter" w:hAnsi="Inter"/>
          <w:b/>
          <w:bCs/>
          <w:color w:val="0B1F33"/>
          <w:sz w:val="22"/>
          <w:szCs w:val="22"/>
        </w:rPr>
        <w:t xml:space="preserve">Frameworks Referenced</w:t>
      </w:r>
    </w:p>
    <w:p>
      <w:pPr>
        <w:spacing w:after="80" w:before="0"/>
        <w:jc w:val="center"/>
      </w:pPr>
      <w:r>
        <w:rPr>
          <w:rFonts w:ascii="Inter" w:cs="Inter" w:eastAsia="Inter" w:hAnsi="Inter"/>
          <w:color w:val="3A5A73"/>
          <w:sz w:val="21"/>
          <w:szCs w:val="21"/>
        </w:rPr>
        <w:t xml:space="preserve">NIST Cybersecurity Framework 2.0  ·  Digital Operational Resilience Act (DORA)</w:t>
      </w:r>
    </w:p>
    <w:p>
      <w:pPr>
        <w:spacing w:after="0" w:before="0"/>
        <w:jc w:val="center"/>
      </w:pPr>
      <w:r>
        <w:rPr>
          <w:rFonts w:ascii="Inter" w:cs="Inter" w:eastAsia="Inter" w:hAnsi="Inter"/>
          <w:color w:val="3A5A73"/>
          <w:sz w:val="21"/>
          <w:szCs w:val="21"/>
        </w:rPr>
        <w:t xml:space="preserve">CRI Profile v2.2  ·  Sheltered Harbor Maturity Model  ·  Cyber Resilience Capability Maturity Model (CR-CMM)</w:t>
      </w:r>
    </w:p>
    <w:p>
      <w:pPr>
        <w:spacing w:after="1600" w:before="0"/>
      </w:pPr>
      <w:r>
        <w:t xml:space="preserve"/>
      </w:r>
    </w:p>
    <w:p>
      <w:pPr>
        <w:spacing w:after="80" w:before="0"/>
        <w:jc w:val="center"/>
      </w:pPr>
      <w:r>
        <w:rPr>
          <w:rFonts w:ascii="Inter" w:cs="Inter" w:eastAsia="Inter" w:hAnsi="Inter"/>
          <w:b/>
          <w:bCs/>
          <w:color w:val="0B1F33"/>
          <w:sz w:val="24"/>
          <w:szCs w:val="24"/>
        </w:rPr>
        <w:t xml:space="preserve">RESILIENCE BY DESIGN</w:t>
      </w:r>
    </w:p>
    <w:p>
      <w:pPr>
        <w:spacing w:after="80" w:before="0"/>
        <w:jc w:val="center"/>
      </w:pPr>
      <w:r>
        <w:rPr>
          <w:rFonts w:ascii="Inter" w:cs="Inter" w:eastAsia="Inter" w:hAnsi="Inter"/>
          <w:color w:val="4FA3D1"/>
          <w:sz w:val="22"/>
          <w:szCs w:val="22"/>
        </w:rPr>
        <w:t xml:space="preserve">ResiliencebyDesign.com</w:t>
      </w:r>
    </w:p>
    <w:p>
      <w:pPr>
        <w:spacing w:after="0" w:before="0"/>
        <w:jc w:val="center"/>
      </w:pPr>
      <w:r>
        <w:rPr>
          <w:rFonts w:ascii="Inter" w:cs="Inter" w:eastAsia="Inter" w:hAnsi="Inter"/>
          <w:color w:val="A7B3BF"/>
          <w:sz w:val="18"/>
          <w:szCs w:val="18"/>
        </w:rPr>
        <w:t xml:space="preserve">© 2026 Resilience by Design. All rights reserved.</w:t>
      </w:r>
    </w:p>
    <w:p>
      <w:pPr>
        <w:sectPr>
          <w:pgSz w:w="12240" w:h="15840" w:orient="portrait"/>
          <w:pgMar w:top="1440" w:right="1440" w:bottom="1440" w:left="1440" w:header="708" w:footer="708" w:gutter="0"/>
          <w:pgNumType/>
          <w:docGrid w:linePitch="360"/>
        </w:sectPr>
      </w:pPr>
    </w:p>
    <w:p>
      <w:pPr>
        <w:pBdr>
          <w:bottom w:val="single" w:color="4FA3D1" w:sz="8" w:space="4"/>
        </w:pBdr>
        <w:spacing w:after="220" w:before="360"/>
      </w:pPr>
      <w:r>
        <w:rPr>
          <w:rFonts w:ascii="Inter" w:cs="Inter" w:eastAsia="Inter" w:hAnsi="Inter"/>
          <w:b/>
          <w:bCs/>
          <w:color w:val="0B1F33"/>
          <w:sz w:val="28"/>
          <w:szCs w:val="28"/>
        </w:rPr>
        <w:t xml:space="preserve">PURPOSE OF THIS DOCUMENT</w:t>
      </w:r>
    </w:p>
    <w:p>
      <w:pPr>
        <w:spacing w:after="180" w:before="0"/>
      </w:pPr>
      <w:r>
        <w:rPr>
          <w:rFonts w:ascii="Inter" w:cs="Inter" w:eastAsia="Inter" w:hAnsi="Inter"/>
          <w:color w:val="0B1F33"/>
          <w:sz w:val="22"/>
          <w:szCs w:val="22"/>
        </w:rPr>
        <w:t xml:space="preserve">This document provides the methodological basis for two assessment instruments developed by Resilience by Design: the Cyber Recovery Readiness Assessment (a self-assessment for individual executives) and the Resilience Journey Assessment (a facilitated workshop for leadership teams).</w:t>
      </w:r>
    </w:p>
    <w:p>
      <w:pPr>
        <w:spacing w:after="180" w:before="0"/>
      </w:pPr>
      <w:r>
        <w:rPr>
          <w:rFonts w:ascii="Inter" w:cs="Inter" w:eastAsia="Inter" w:hAnsi="Inter"/>
          <w:color w:val="0B1F33"/>
          <w:sz w:val="22"/>
          <w:szCs w:val="22"/>
        </w:rPr>
        <w:t xml:space="preserve">Both instruments produce a score from 1 to 5 reflecting an organization's readiness to recover critical business services from a severe cyber outage — one in which primary systems, conventional backups, and standard recovery infrastructure are simultaneously unavailable. This document explains how that score is constructed, why the five dimensions were chosen, and how each dimension maps to the relevant established frameworks in cybersecurity, operational resilience, and business continuity.</w:t>
      </w:r>
    </w:p>
    <w:p>
      <w:pPr>
        <w:spacing w:after="180" w:before="0"/>
      </w:pPr>
      <w:r>
        <w:rPr>
          <w:rFonts w:ascii="Inter" w:cs="Inter" w:eastAsia="Inter" w:hAnsi="Inter"/>
          <w:color w:val="0B1F33"/>
          <w:sz w:val="22"/>
          <w:szCs w:val="22"/>
        </w:rPr>
        <w:t xml:space="preserve">This document is intended for use by: organizations that wish to understand how their assessment score relates to their existing framework compliance work; legal, risk, and compliance functions that require a methodological basis for the assessment before acting on its findings; regulators and examiners who wish to understand the evidentiary basis for the scoring framework; and boards that require confidence in the independence and rigor of the assessment methodology.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0B1F33"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EBF2F8" w:val="clear"/>
            <w:tcMar>
              <w:top w:type="dxa" w:w="120"/>
              <w:left w:type="dxa" w:w="200"/>
              <w:bottom w:type="dxa" w:w="120"/>
              <w:right w:type="dxa" w:w="160"/>
            </w:tcMar>
          </w:tcPr>
          <w:p>
            <w:r>
              <w:rPr>
                <w:rFonts w:ascii="Inter" w:cs="Inter" w:eastAsia="Inter" w:hAnsi="Inter"/>
                <w:b/>
                <w:bCs/>
                <w:color w:val="0B1F33"/>
                <w:sz w:val="22"/>
                <w:szCs w:val="22"/>
              </w:rPr>
              <w:t xml:space="preserve">Authorship note: </w:t>
            </w:r>
            <w:r>
              <w:rPr>
                <w:rFonts w:ascii="Inter" w:cs="Inter" w:eastAsia="Inter" w:hAnsi="Inter"/>
                <w:color w:val="0B1F33"/>
                <w:sz w:val="22"/>
                <w:szCs w:val="22"/>
              </w:rPr>
              <w:t xml:space="preserve">This assessment framework was developed by the lead architect of Sheltered Harbor — the industry-led initiative selected by the U.S. financial sector to address severe-outage recovery readiness. The Sheltered Harbor framework's core concepts of Minimum Viable Operation identification, independent data vaulting, and tested restoration protocols are foundational to this methodology.</w:t>
            </w:r>
          </w:p>
        </w:tc>
      </w:tr>
    </w:tbl>
    <w:p>
      <w:pPr>
        <w:spacing w:after="100" w:before="0"/>
      </w:pPr>
      <w:r>
        <w:t xml:space="preserve"/>
      </w:r>
    </w:p>
    <w:p>
      <w:r>
        <w:br w:type="page"/>
      </w:r>
    </w:p>
    <w:p>
      <w:pPr>
        <w:pBdr>
          <w:bottom w:val="single" w:color="4FA3D1" w:sz="8" w:space="4"/>
        </w:pBdr>
        <w:spacing w:after="220" w:before="360"/>
      </w:pPr>
      <w:r>
        <w:rPr>
          <w:rFonts w:ascii="Inter" w:cs="Inter" w:eastAsia="Inter" w:hAnsi="Inter"/>
          <w:b/>
          <w:bCs/>
          <w:color w:val="0B1F33"/>
          <w:sz w:val="28"/>
          <w:szCs w:val="28"/>
        </w:rPr>
        <w:t xml:space="preserve">THE SCORING MODEL</w:t>
      </w:r>
    </w:p>
    <w:p>
      <w:pPr>
        <w:spacing w:after="120" w:before="240"/>
      </w:pPr>
      <w:r>
        <w:rPr>
          <w:rFonts w:ascii="Inter" w:cs="Inter" w:eastAsia="Inter" w:hAnsi="Inter"/>
          <w:b/>
          <w:bCs/>
          <w:color w:val="0B1F33"/>
          <w:sz w:val="24"/>
          <w:szCs w:val="24"/>
        </w:rPr>
        <w:t xml:space="preserve">Design Principles</w:t>
      </w:r>
    </w:p>
    <w:p>
      <w:pPr>
        <w:spacing w:after="180" w:before="0"/>
      </w:pPr>
      <w:r>
        <w:rPr>
          <w:rFonts w:ascii="Inter" w:cs="Inter" w:eastAsia="Inter" w:hAnsi="Inter"/>
          <w:color w:val="0B1F33"/>
          <w:sz w:val="22"/>
          <w:szCs w:val="22"/>
        </w:rPr>
        <w:t xml:space="preserve">The scoring model was designed to satisfy four requirements simultaneously:</w:t>
      </w:r>
    </w:p>
    <w:p>
      <w:pPr>
        <w:spacing w:after="180" w:before="0"/>
      </w:pPr>
      <w:r>
        <w:rPr>
          <w:rFonts w:ascii="Inter" w:cs="Inter" w:eastAsia="Inter" w:hAnsi="Inter"/>
          <w:i w:val="false"/>
          <w:iCs w:val="false"/>
          <w:color w:val="0B1F33"/>
          <w:sz w:val="22"/>
          <w:szCs w:val="22"/>
        </w:rPr>
        <w:t xml:space="preserve">Accuracy — the score should reflect organizational reality, not self-perception. The Resilience Journey Assessment addresses this by using facilitator-assessed, evidence-based scoring rather than self-reporting.</w:t>
      </w:r>
    </w:p>
    <w:p>
      <w:pPr>
        <w:spacing w:after="180" w:before="0"/>
      </w:pPr>
      <w:r>
        <w:rPr>
          <w:rFonts w:ascii="Inter" w:cs="Inter" w:eastAsia="Inter" w:hAnsi="Inter"/>
          <w:i w:val="false"/>
          <w:iCs w:val="false"/>
          <w:color w:val="0B1F33"/>
          <w:sz w:val="22"/>
          <w:szCs w:val="22"/>
        </w:rPr>
        <w:t xml:space="preserve">Actionability — the score should identify where to invest, not just whether investment is needed. The five-dimension profile ensures that the floor dimension — the one that limits overall recovery capability — is immediately visible.</w:t>
      </w:r>
    </w:p>
    <w:p>
      <w:pPr>
        <w:spacing w:after="180" w:before="0"/>
      </w:pPr>
      <w:r>
        <w:rPr>
          <w:rFonts w:ascii="Inter" w:cs="Inter" w:eastAsia="Inter" w:hAnsi="Inter"/>
          <w:i w:val="false"/>
          <w:iCs w:val="false"/>
          <w:color w:val="0B1F33"/>
          <w:sz w:val="22"/>
          <w:szCs w:val="22"/>
        </w:rPr>
        <w:t xml:space="preserve">Credibility — the score should be defensible to boards, regulators, and sophisticated stakeholders. Framework mapping to NIST CSF 2.0, DORA, Cyber Risk Profile 2.0, Sheltered Harbor, and the CR-CMM provides that foundation.</w:t>
      </w:r>
    </w:p>
    <w:p>
      <w:pPr>
        <w:spacing w:after="180" w:before="0"/>
      </w:pPr>
      <w:r>
        <w:rPr>
          <w:rFonts w:ascii="Inter" w:cs="Inter" w:eastAsia="Inter" w:hAnsi="Inter"/>
          <w:i w:val="false"/>
          <w:iCs w:val="false"/>
          <w:color w:val="0B1F33"/>
          <w:sz w:val="22"/>
          <w:szCs w:val="22"/>
        </w:rPr>
        <w:t xml:space="preserve">Simplicity — the score should be communicable to a non-technical board audience. The 1–5 scale and plain-language dimension labels make the result accessible without sacrificing the precision of the underlying methodology.</w:t>
      </w:r>
    </w:p>
    <w:p>
      <w:pPr>
        <w:spacing w:after="100" w:before="0"/>
      </w:pPr>
      <w:r>
        <w:t xml:space="preserve"/>
      </w:r>
    </w:p>
    <w:p>
      <w:pPr>
        <w:spacing w:after="120" w:before="240"/>
      </w:pPr>
      <w:r>
        <w:rPr>
          <w:rFonts w:ascii="Inter" w:cs="Inter" w:eastAsia="Inter" w:hAnsi="Inter"/>
          <w:b/>
          <w:bCs/>
          <w:color w:val="0B1F33"/>
          <w:sz w:val="24"/>
          <w:szCs w:val="24"/>
        </w:rPr>
        <w:t xml:space="preserve">The Five Dimensions</w:t>
      </w:r>
    </w:p>
    <w:p>
      <w:pPr>
        <w:spacing w:after="180" w:before="0"/>
      </w:pPr>
      <w:r>
        <w:rPr>
          <w:rFonts w:ascii="Inter" w:cs="Inter" w:eastAsia="Inter" w:hAnsi="Inter"/>
          <w:color w:val="0B1F33"/>
          <w:sz w:val="22"/>
          <w:szCs w:val="22"/>
        </w:rPr>
        <w:t xml:space="preserve">The five scoring dimensions were selected because they represent the five conditions that must all be true for an organization to be genuinely capable of recovering from a severe cyber outage. The absence of any one of them undermines the others. An organization with a perfect Restoration Readiness protocol but no defined Minimum Viable Operation is restoring the wrong thing. An organization with a defined MVO and a complete dependency map but no tested restoration protocol has a plan, not a capability.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3600"/>
      </w:tblGrid>
      <w:tr>
        <w:trPr>
          <w:tblHeader/>
        </w:trPr>
        <w:tc>
          <w:tcPr>
            <w:tcW w:type="dxa" w:w="144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Dimension</w:t>
            </w:r>
          </w:p>
        </w:tc>
        <w:tc>
          <w:tcPr>
            <w:tcW w:type="dxa" w:w="504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r>
              <w:rPr>
                <w:rFonts w:ascii="Inter" w:cs="Inter" w:eastAsia="Inter" w:hAnsi="Inter"/>
                <w:b/>
                <w:bCs/>
                <w:color w:val="FFFFFF"/>
                <w:sz w:val="20"/>
                <w:szCs w:val="20"/>
              </w:rPr>
              <w:t xml:space="preserve">Core Question</w:t>
            </w:r>
          </w:p>
        </w:tc>
        <w:tc>
          <w:tcPr>
            <w:tcW w:type="dxa" w:w="3600"/>
            <w:tcBorders>
              <w:top w:val="single" w:color="0B1F33" w:sz="8"/>
              <w:left w:val="single" w:color="0B1F33" w:sz="8"/>
              <w:bottom w:val="single" w:color="0B1F33" w:sz="8"/>
              <w:right w:val="single" w:color="0B1F33" w:sz="8"/>
            </w:tcBorders>
            <w:shd w:fill="0B1F33" w:val="clear"/>
            <w:tcMar>
              <w:top w:type="dxa" w:w="100"/>
              <w:left w:type="dxa" w:w="120"/>
              <w:bottom w:type="dxa" w:w="100"/>
              <w:right w:type="dxa" w:w="120"/>
            </w:tcMar>
          </w:tcPr>
          <w:p>
            <w:pPr>
              <w:jc w:val="center"/>
            </w:pPr>
            <w:r>
              <w:rPr>
                <w:rFonts w:ascii="Inter" w:cs="Inter" w:eastAsia="Inter" w:hAnsi="Inter"/>
                <w:b/>
                <w:bCs/>
                <w:color w:val="FFFFFF"/>
                <w:sz w:val="20"/>
                <w:szCs w:val="20"/>
              </w:rPr>
              <w:t xml:space="preserve">Weight</w:t>
            </w:r>
          </w:p>
        </w:tc>
      </w:tr>
      <w:tr>
        <w:tc>
          <w:tcPr>
            <w:tcW w:type="dxa" w:w="14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b/>
                <w:bCs/>
                <w:color w:val="0B1F33"/>
                <w:sz w:val="20"/>
                <w:szCs w:val="20"/>
              </w:rPr>
              <w:t xml:space="preserve">1. Outcome Clarity</w:t>
            </w:r>
          </w:p>
        </w:tc>
        <w:tc>
          <w:tcPr>
            <w:tcW w:type="dxa" w:w="50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color w:val="0B1F33"/>
                <w:sz w:val="20"/>
                <w:szCs w:val="20"/>
              </w:rPr>
              <w:t xml:space="preserve">Whether the organization has formally identified and agreed upon its Minimum Viable Operation — the irreducible set of services it must deliver to remain viable — and whether that definition has organizational authority and cross-leadership alignment.</w:t>
            </w:r>
          </w:p>
        </w:tc>
        <w:tc>
          <w:tcPr>
            <w:tcW w:type="dxa" w:w="36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2"/>
                <w:szCs w:val="22"/>
              </w:rPr>
              <w:t xml:space="preserve">15%</w:t>
            </w:r>
          </w:p>
        </w:tc>
      </w:tr>
      <w:tr>
        <w:tc>
          <w:tcPr>
            <w:tcW w:type="dxa" w:w="144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b/>
                <w:bCs/>
                <w:color w:val="0B1F33"/>
                <w:sz w:val="20"/>
                <w:szCs w:val="20"/>
              </w:rPr>
              <w:t xml:space="preserve">2. Dependency Intelligence</w:t>
            </w:r>
          </w:p>
        </w:tc>
        <w:tc>
          <w:tcPr>
            <w:tcW w:type="dxa" w:w="504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Whether the organization has a complete, verified, and current map of every resource — people, systems, data, third parties, and facilities — required to deliver its Minimum Viable Operation, and whether that map is based on actual system data rather than organizational belief.</w:t>
            </w:r>
          </w:p>
        </w:tc>
        <w:tc>
          <w:tcPr>
            <w:tcW w:type="dxa" w:w="360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vAlign w:val="center"/>
          </w:tcPr>
          <w:p>
            <w:pPr>
              <w:jc w:val="center"/>
            </w:pPr>
            <w:r>
              <w:rPr>
                <w:rFonts w:ascii="Inter" w:cs="Inter" w:eastAsia="Inter" w:hAnsi="Inter"/>
                <w:b/>
                <w:bCs/>
                <w:color w:val="0B1F33"/>
                <w:sz w:val="22"/>
                <w:szCs w:val="22"/>
              </w:rPr>
              <w:t xml:space="preserve">20%</w:t>
            </w:r>
          </w:p>
        </w:tc>
      </w:tr>
      <w:tr>
        <w:tc>
          <w:tcPr>
            <w:tcW w:type="dxa" w:w="14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b/>
                <w:bCs/>
                <w:color w:val="0B1F33"/>
                <w:sz w:val="20"/>
                <w:szCs w:val="20"/>
              </w:rPr>
              <w:t xml:space="preserve">3. Restoration Readiness</w:t>
            </w:r>
          </w:p>
        </w:tc>
        <w:tc>
          <w:tcPr>
            <w:tcW w:type="dxa" w:w="50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color w:val="0B1F33"/>
                <w:sz w:val="20"/>
                <w:szCs w:val="20"/>
              </w:rPr>
              <w:t xml:space="preserve">Whether the organization has a specific, step-by-step restoration protocol for its minimum viable services that is executable when primary systems and conventional backups are simultaneously unavailable, and whether that protocol has been tested under realistic conditions.</w:t>
            </w:r>
          </w:p>
        </w:tc>
        <w:tc>
          <w:tcPr>
            <w:tcW w:type="dxa" w:w="36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2"/>
                <w:szCs w:val="22"/>
              </w:rPr>
              <w:t xml:space="preserve">30%</w:t>
            </w:r>
          </w:p>
        </w:tc>
      </w:tr>
      <w:tr>
        <w:tc>
          <w:tcPr>
            <w:tcW w:type="dxa" w:w="144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b/>
                <w:bCs/>
                <w:color w:val="0B1F33"/>
                <w:sz w:val="20"/>
                <w:szCs w:val="20"/>
              </w:rPr>
              <w:t xml:space="preserve">4. Plan Currency and Governance</w:t>
            </w:r>
          </w:p>
        </w:tc>
        <w:tc>
          <w:tcPr>
            <w:tcW w:type="dxa" w:w="504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Whether the organization's recovery plan reflects the current operating environment, whether clear ownership and authority exist for recovery readiness, and whether the Board receives validated status reporting on resilience posture.</w:t>
            </w:r>
          </w:p>
        </w:tc>
        <w:tc>
          <w:tcPr>
            <w:tcW w:type="dxa" w:w="360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vAlign w:val="center"/>
          </w:tcPr>
          <w:p>
            <w:pPr>
              <w:jc w:val="center"/>
            </w:pPr>
            <w:r>
              <w:rPr>
                <w:rFonts w:ascii="Inter" w:cs="Inter" w:eastAsia="Inter" w:hAnsi="Inter"/>
                <w:b/>
                <w:bCs/>
                <w:color w:val="0B1F33"/>
                <w:sz w:val="22"/>
                <w:szCs w:val="22"/>
              </w:rPr>
              <w:t xml:space="preserve">20%</w:t>
            </w:r>
          </w:p>
        </w:tc>
      </w:tr>
      <w:tr>
        <w:tc>
          <w:tcPr>
            <w:tcW w:type="dxa" w:w="14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b/>
                <w:bCs/>
                <w:color w:val="0B1F33"/>
                <w:sz w:val="20"/>
                <w:szCs w:val="20"/>
              </w:rPr>
              <w:t xml:space="preserve">5. Recovery Velocity</w:t>
            </w:r>
          </w:p>
        </w:tc>
        <w:tc>
          <w:tcPr>
            <w:tcW w:type="dxa" w:w="504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tcPr>
          <w:p>
            <w:r>
              <w:rPr>
                <w:rFonts w:ascii="Inter" w:cs="Inter" w:eastAsia="Inter" w:hAnsi="Inter"/>
                <w:color w:val="0B1F33"/>
                <w:sz w:val="20"/>
                <w:szCs w:val="20"/>
              </w:rPr>
              <w:t xml:space="preserve">Whether the organization knows — with tested evidence — how quickly it can restore minimum viable services, and whether its leadership team has demonstrated the ability to make effective decisions and communicate effectively under the pressure of a realistic severe-outage simulation.</w:t>
            </w:r>
          </w:p>
        </w:tc>
        <w:tc>
          <w:tcPr>
            <w:tcW w:type="dxa" w:w="36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pPr>
              <w:jc w:val="center"/>
            </w:pPr>
            <w:r>
              <w:rPr>
                <w:rFonts w:ascii="Inter" w:cs="Inter" w:eastAsia="Inter" w:hAnsi="Inter"/>
                <w:b/>
                <w:bCs/>
                <w:color w:val="0B1F33"/>
                <w:sz w:val="22"/>
                <w:szCs w:val="22"/>
              </w:rPr>
              <w:t xml:space="preserve">15%</w:t>
            </w:r>
          </w:p>
        </w:tc>
      </w:tr>
    </w:tbl>
    <w:p>
      <w:pPr>
        <w:spacing w:after="200" w:before="0"/>
      </w:pPr>
      <w:r>
        <w:t xml:space="preserve"/>
      </w:r>
    </w:p>
    <w:p>
      <w:pPr>
        <w:spacing w:after="120" w:before="240"/>
      </w:pPr>
      <w:r>
        <w:rPr>
          <w:rFonts w:ascii="Inter" w:cs="Inter" w:eastAsia="Inter" w:hAnsi="Inter"/>
          <w:b/>
          <w:bCs/>
          <w:color w:val="0B1F33"/>
          <w:sz w:val="24"/>
          <w:szCs w:val="24"/>
        </w:rPr>
        <w:t xml:space="preserve">Weighting Rationale</w:t>
      </w:r>
    </w:p>
    <w:p>
      <w:pPr>
        <w:spacing w:after="180" w:before="0"/>
      </w:pPr>
      <w:r>
        <w:rPr>
          <w:rFonts w:ascii="Inter" w:cs="Inter" w:eastAsia="Inter" w:hAnsi="Inter"/>
          <w:color w:val="0B1F33"/>
          <w:sz w:val="22"/>
          <w:szCs w:val="22"/>
        </w:rPr>
        <w:t xml:space="preserve">Restoration Readiness (30%) carries the highest weight because it is the most direct predictor of whether an organization actually recovers from a severe outage. All other dimensions are prerequisites that make Restoration Readiness possible — but Restoration Readiness is the capability that determines the outcome.</w:t>
      </w:r>
    </w:p>
    <w:p>
      <w:pPr>
        <w:spacing w:after="180" w:before="0"/>
      </w:pPr>
      <w:r>
        <w:rPr>
          <w:rFonts w:ascii="Inter" w:cs="Inter" w:eastAsia="Inter" w:hAnsi="Inter"/>
          <w:color w:val="0B1F33"/>
          <w:sz w:val="22"/>
          <w:szCs w:val="22"/>
        </w:rPr>
        <w:t xml:space="preserve">Dependency Intelligence and Plan Currency and Governance are weighted equally at 20% each, reflecting that both are necessary conditions for a functional restoration protocol: you cannot restore what you have not mapped, and you cannot execute a plan that is no longer current.</w:t>
      </w:r>
    </w:p>
    <w:p>
      <w:pPr>
        <w:spacing w:after="180" w:before="0"/>
      </w:pPr>
      <w:r>
        <w:rPr>
          <w:rFonts w:ascii="Inter" w:cs="Inter" w:eastAsia="Inter" w:hAnsi="Inter"/>
          <w:color w:val="0B1F33"/>
          <w:sz w:val="22"/>
          <w:szCs w:val="22"/>
        </w:rPr>
        <w:t xml:space="preserve">Outcome Clarity and Recovery Velocity are weighted at 15% each. Both are critical, but both are also more readily assessable by organizations themselves and are less likely to be the hidden failure mode that Restoration Readiness and Dependency Intelligence represent.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0B1F33"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EBF2F8" w:val="clear"/>
            <w:tcMar>
              <w:top w:type="dxa" w:w="120"/>
              <w:left w:type="dxa" w:w="200"/>
              <w:bottom w:type="dxa" w:w="120"/>
              <w:right w:type="dxa" w:w="160"/>
            </w:tcMar>
          </w:tcPr>
          <w:p>
            <w:r>
              <w:rPr>
                <w:rFonts w:ascii="Inter" w:cs="Inter" w:eastAsia="Inter" w:hAnsi="Inter"/>
                <w:b/>
                <w:bCs/>
                <w:color w:val="0B1F33"/>
                <w:sz w:val="22"/>
                <w:szCs w:val="22"/>
              </w:rPr>
              <w:t xml:space="preserve">Floor effect: </w:t>
            </w:r>
            <w:r>
              <w:rPr>
                <w:rFonts w:ascii="Inter" w:cs="Inter" w:eastAsia="Inter" w:hAnsi="Inter"/>
                <w:color w:val="0B1F33"/>
                <w:sz w:val="22"/>
                <w:szCs w:val="22"/>
              </w:rPr>
              <w:t xml:space="preserve">A low score on Restoration Readiness limits the practical meaning of the overall score, regardless of dimension weights. An organization with a weighted overall score of 3.2 that scores 1 on Restoration Readiness is not a 3.2 organization from a recovery standpoint. The dimension profile should always be presented alongside the overall score.</w:t>
            </w:r>
          </w:p>
        </w:tc>
      </w:tr>
    </w:tbl>
    <w:p>
      <w:pPr>
        <w:spacing w:after="100" w:before="0"/>
      </w:pPr>
      <w:r>
        <w:t xml:space="preserve"/>
      </w:r>
    </w:p>
    <w:p>
      <w:pPr>
        <w:spacing w:after="120" w:before="240"/>
      </w:pPr>
      <w:r>
        <w:rPr>
          <w:rFonts w:ascii="Inter" w:cs="Inter" w:eastAsia="Inter" w:hAnsi="Inter"/>
          <w:b/>
          <w:bCs/>
          <w:color w:val="0B1F33"/>
          <w:sz w:val="24"/>
          <w:szCs w:val="24"/>
        </w:rPr>
        <w:t xml:space="preserve">Score Level Definitions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
        <w:gridCol w:w="3000"/>
        <w:gridCol w:w="6360"/>
      </w:tblGrid>
      <w:tr>
        <w:trPr>
          <w:tblHeader/>
        </w:trPr>
        <w:tc>
          <w:tcPr>
            <w:tcW w:type="dxa" w:w="720"/>
            <w:tcBorders>
              <w:top w:val="single" w:color="0B1F33" w:sz="8"/>
              <w:left w:val="single" w:color="0B1F33" w:sz="8"/>
              <w:bottom w:val="single" w:color="0B1F33" w:sz="8"/>
              <w:right w:val="single" w:color="0B1F33" w:sz="8"/>
            </w:tcBorders>
            <w:shd w:fill="0B1F33" w:val="clear"/>
            <w:tcMar>
              <w:top w:type="dxa" w:w="80"/>
              <w:left w:type="dxa" w:w="80"/>
              <w:bottom w:type="dxa" w:w="80"/>
              <w:right w:type="dxa" w:w="80"/>
            </w:tcMar>
          </w:tcPr>
          <w:p>
            <w:pPr>
              <w:jc w:val="center"/>
            </w:pPr>
            <w:r>
              <w:rPr>
                <w:rFonts w:ascii="Inter" w:cs="Inter" w:eastAsia="Inter" w:hAnsi="Inter"/>
                <w:b/>
                <w:bCs/>
                <w:color w:val="FFFFFF"/>
                <w:sz w:val="20"/>
                <w:szCs w:val="20"/>
              </w:rPr>
              <w:t xml:space="preserve">Score</w:t>
            </w:r>
          </w:p>
        </w:tc>
        <w:tc>
          <w:tcPr>
            <w:tcW w:type="dxa" w:w="300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Level</w:t>
            </w:r>
          </w:p>
        </w:tc>
        <w:tc>
          <w:tcPr>
            <w:tcW w:type="dxa" w:w="6360"/>
            <w:tcBorders>
              <w:top w:val="single" w:color="0B1F33" w:sz="8"/>
              <w:left w:val="single" w:color="0B1F33" w:sz="8"/>
              <w:bottom w:val="single" w:color="0B1F33" w:sz="8"/>
              <w:right w:val="single" w:color="0B1F33" w:sz="8"/>
            </w:tcBorders>
            <w:shd w:fill="0B1F33" w:val="clear"/>
            <w:tcMar>
              <w:top w:type="dxa" w:w="80"/>
              <w:left w:type="dxa" w:w="120"/>
              <w:bottom w:type="dxa" w:w="80"/>
              <w:right w:type="dxa" w:w="120"/>
            </w:tcMar>
          </w:tcPr>
          <w:p>
            <w:r>
              <w:rPr>
                <w:rFonts w:ascii="Inter" w:cs="Inter" w:eastAsia="Inter" w:hAnsi="Inter"/>
                <w:b/>
                <w:bCs/>
                <w:color w:val="FFFFFF"/>
                <w:sz w:val="20"/>
                <w:szCs w:val="20"/>
              </w:rPr>
              <w:t xml:space="preserve">Operational Meaning</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80"/>
              <w:bottom w:type="dxa" w:w="100"/>
              <w:right w:type="dxa" w:w="80"/>
            </w:tcMar>
            <w:vAlign w:val="center"/>
          </w:tcPr>
          <w:p>
            <w:pPr>
              <w:jc w:val="center"/>
            </w:pPr>
            <w:r>
              <w:rPr>
                <w:rFonts w:ascii="Inter" w:cs="Inter" w:eastAsia="Inter" w:hAnsi="Inter"/>
                <w:b/>
                <w:bCs/>
                <w:color w:val="0B1F33"/>
                <w:sz w:val="26"/>
                <w:szCs w:val="26"/>
              </w:rPr>
              <w:t xml:space="preserve">1</w:t>
            </w:r>
          </w:p>
        </w:tc>
        <w:tc>
          <w:tcPr>
            <w:tcW w:type="dxa" w:w="30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No Meaningful Capability</w:t>
            </w:r>
          </w:p>
        </w:tc>
        <w:tc>
          <w:tcPr>
            <w:tcW w:type="dxa" w:w="636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The organization has not addressed this dimension in any systematic way. No documented plans, no assigned accountability, no evidence of structured activity.</w:t>
            </w:r>
          </w:p>
        </w:tc>
      </w:tr>
      <w:tr>
        <w:tc>
          <w:tcPr>
            <w:tcW w:type="dxa" w:w="720"/>
            <w:tcBorders>
              <w:top w:val="single" w:color="A7B3BF" w:sz="1"/>
              <w:left w:val="single" w:color="A7B3BF" w:sz="1"/>
              <w:bottom w:val="single" w:color="A7B3BF" w:sz="1"/>
              <w:right w:val="single" w:color="A7B3BF" w:sz="1"/>
            </w:tcBorders>
            <w:shd w:fill="F4F6F8" w:val="clear"/>
            <w:tcMar>
              <w:top w:type="dxa" w:w="100"/>
              <w:left w:type="dxa" w:w="80"/>
              <w:bottom w:type="dxa" w:w="100"/>
              <w:right w:type="dxa" w:w="80"/>
            </w:tcMar>
            <w:vAlign w:val="center"/>
          </w:tcPr>
          <w:p>
            <w:pPr>
              <w:jc w:val="center"/>
            </w:pPr>
            <w:r>
              <w:rPr>
                <w:rFonts w:ascii="Inter" w:cs="Inter" w:eastAsia="Inter" w:hAnsi="Inter"/>
                <w:b/>
                <w:bCs/>
                <w:color w:val="0B1F33"/>
                <w:sz w:val="26"/>
                <w:szCs w:val="26"/>
              </w:rPr>
              <w:t xml:space="preserve">2</w:t>
            </w:r>
          </w:p>
        </w:tc>
        <w:tc>
          <w:tcPr>
            <w:tcW w:type="dxa" w:w="300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r>
              <w:rPr>
                <w:rFonts w:ascii="Inter" w:cs="Inter" w:eastAsia="Inter" w:hAnsi="Inter"/>
                <w:b/>
                <w:bCs/>
                <w:color w:val="0B1F33"/>
                <w:sz w:val="20"/>
                <w:szCs w:val="20"/>
              </w:rPr>
              <w:t xml:space="preserve">Partial or Informal</w:t>
            </w:r>
          </w:p>
        </w:tc>
        <w:tc>
          <w:tcPr>
            <w:tcW w:type="dxa" w:w="636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Some awareness or informal effort exists but it is undocumented, untested, or based on organizational belief rather than verified evidence. Plans may exist on paper but are not functional.</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80"/>
              <w:bottom w:type="dxa" w:w="100"/>
              <w:right w:type="dxa" w:w="80"/>
            </w:tcMar>
            <w:vAlign w:val="center"/>
          </w:tcPr>
          <w:p>
            <w:pPr>
              <w:jc w:val="center"/>
            </w:pPr>
            <w:r>
              <w:rPr>
                <w:rFonts w:ascii="Inter" w:cs="Inter" w:eastAsia="Inter" w:hAnsi="Inter"/>
                <w:b/>
                <w:bCs/>
                <w:color w:val="0B1F33"/>
                <w:sz w:val="26"/>
                <w:szCs w:val="26"/>
              </w:rPr>
              <w:t xml:space="preserve">3</w:t>
            </w:r>
          </w:p>
        </w:tc>
        <w:tc>
          <w:tcPr>
            <w:tcW w:type="dxa" w:w="30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Documented but Unvalidated</w:t>
            </w:r>
          </w:p>
        </w:tc>
        <w:tc>
          <w:tcPr>
            <w:tcW w:type="dxa" w:w="636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Documented plans, processes, or capabilities exist and are reasonably current, but have not been tested under realistic conditions. The organization knows what it intends to do but has not demonstrated it can.</w:t>
            </w:r>
          </w:p>
        </w:tc>
      </w:tr>
      <w:tr>
        <w:tc>
          <w:tcPr>
            <w:tcW w:type="dxa" w:w="720"/>
            <w:tcBorders>
              <w:top w:val="single" w:color="A7B3BF" w:sz="1"/>
              <w:left w:val="single" w:color="A7B3BF" w:sz="1"/>
              <w:bottom w:val="single" w:color="A7B3BF" w:sz="1"/>
              <w:right w:val="single" w:color="A7B3BF" w:sz="1"/>
            </w:tcBorders>
            <w:shd w:fill="F4F6F8" w:val="clear"/>
            <w:tcMar>
              <w:top w:type="dxa" w:w="100"/>
              <w:left w:type="dxa" w:w="80"/>
              <w:bottom w:type="dxa" w:w="100"/>
              <w:right w:type="dxa" w:w="80"/>
            </w:tcMar>
            <w:vAlign w:val="center"/>
          </w:tcPr>
          <w:p>
            <w:pPr>
              <w:jc w:val="center"/>
            </w:pPr>
            <w:r>
              <w:rPr>
                <w:rFonts w:ascii="Inter" w:cs="Inter" w:eastAsia="Inter" w:hAnsi="Inter"/>
                <w:b/>
                <w:bCs/>
                <w:color w:val="0B1F33"/>
                <w:sz w:val="26"/>
                <w:szCs w:val="26"/>
              </w:rPr>
              <w:t xml:space="preserve">4</w:t>
            </w:r>
          </w:p>
        </w:tc>
        <w:tc>
          <w:tcPr>
            <w:tcW w:type="dxa" w:w="3000"/>
            <w:tcBorders>
              <w:top w:val="single" w:color="A7B3BF" w:sz="1"/>
              <w:left w:val="single" w:color="A7B3BF" w:sz="1"/>
              <w:bottom w:val="single" w:color="A7B3BF" w:sz="1"/>
              <w:right w:val="single" w:color="A7B3BF" w:sz="1"/>
            </w:tcBorders>
            <w:shd w:fill="F4F6F8" w:val="clear"/>
            <w:tcMar>
              <w:top w:type="dxa" w:w="100"/>
              <w:left w:type="dxa" w:w="120"/>
              <w:bottom w:type="dxa" w:w="100"/>
              <w:right w:type="dxa" w:w="120"/>
            </w:tcMar>
            <w:vAlign w:val="center"/>
          </w:tcPr>
          <w:p>
            <w:r>
              <w:rPr>
                <w:rFonts w:ascii="Inter" w:cs="Inter" w:eastAsia="Inter" w:hAnsi="Inter"/>
                <w:b/>
                <w:bCs/>
                <w:color w:val="0B1F33"/>
                <w:sz w:val="20"/>
                <w:szCs w:val="20"/>
              </w:rPr>
              <w:t xml:space="preserve">Tested and Owned</w:t>
            </w:r>
          </w:p>
        </w:tc>
        <w:tc>
          <w:tcPr>
            <w:tcW w:type="dxa" w:w="636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A tested capability with clear ownership, executive backing, and evidence of functioning under realistic pressure. Plans are current and have been exercised in conditions that approximate real-world severe outage scenarios.</w:t>
            </w:r>
          </w:p>
        </w:tc>
      </w:tr>
      <w:tr>
        <w:tc>
          <w:tcPr>
            <w:tcW w:type="dxa" w:w="720"/>
            <w:tcBorders>
              <w:top w:val="single" w:color="A7B3BF" w:sz="1"/>
              <w:left w:val="single" w:color="A7B3BF" w:sz="1"/>
              <w:bottom w:val="single" w:color="A7B3BF" w:sz="1"/>
              <w:right w:val="single" w:color="A7B3BF" w:sz="1"/>
            </w:tcBorders>
            <w:shd w:fill="EBF2F8" w:val="clear"/>
            <w:tcMar>
              <w:top w:type="dxa" w:w="100"/>
              <w:left w:type="dxa" w:w="80"/>
              <w:bottom w:type="dxa" w:w="100"/>
              <w:right w:type="dxa" w:w="80"/>
            </w:tcMar>
            <w:vAlign w:val="center"/>
          </w:tcPr>
          <w:p>
            <w:pPr>
              <w:jc w:val="center"/>
            </w:pPr>
            <w:r>
              <w:rPr>
                <w:rFonts w:ascii="Inter" w:cs="Inter" w:eastAsia="Inter" w:hAnsi="Inter"/>
                <w:b/>
                <w:bCs/>
                <w:color w:val="0B1F33"/>
                <w:sz w:val="26"/>
                <w:szCs w:val="26"/>
              </w:rPr>
              <w:t xml:space="preserve">5</w:t>
            </w:r>
          </w:p>
        </w:tc>
        <w:tc>
          <w:tcPr>
            <w:tcW w:type="dxa" w:w="3000"/>
            <w:tcBorders>
              <w:top w:val="single" w:color="A7B3BF" w:sz="1"/>
              <w:left w:val="single" w:color="A7B3BF" w:sz="1"/>
              <w:bottom w:val="single" w:color="A7B3BF" w:sz="1"/>
              <w:right w:val="single" w:color="A7B3BF" w:sz="1"/>
            </w:tcBorders>
            <w:shd w:fill="EBF2F8" w:val="clear"/>
            <w:tcMar>
              <w:top w:type="dxa" w:w="100"/>
              <w:left w:type="dxa" w:w="120"/>
              <w:bottom w:type="dxa" w:w="100"/>
              <w:right w:type="dxa" w:w="120"/>
            </w:tcMar>
            <w:vAlign w:val="center"/>
          </w:tcPr>
          <w:p>
            <w:r>
              <w:rPr>
                <w:rFonts w:ascii="Inter" w:cs="Inter" w:eastAsia="Inter" w:hAnsi="Inter"/>
                <w:b/>
                <w:bCs/>
                <w:color w:val="0B1F33"/>
                <w:sz w:val="20"/>
                <w:szCs w:val="20"/>
              </w:rPr>
              <w:t xml:space="preserve">Continuously Validated</w:t>
            </w:r>
          </w:p>
        </w:tc>
        <w:tc>
          <w:tcPr>
            <w:tcW w:type="dxa" w:w="6360"/>
            <w:tcBorders>
              <w:top w:val="single" w:color="A7B3BF" w:sz="1"/>
              <w:left w:val="single" w:color="A7B3BF" w:sz="1"/>
              <w:bottom w:val="single" w:color="A7B3BF" w:sz="1"/>
              <w:right w:val="single" w:color="A7B3BF" w:sz="1"/>
            </w:tcBorders>
            <w:shd w:fill="FFFFFF" w:val="clear"/>
            <w:tcMar>
              <w:top w:type="dxa" w:w="100"/>
              <w:left w:type="dxa" w:w="120"/>
              <w:bottom w:type="dxa" w:w="100"/>
              <w:right w:type="dxa" w:w="120"/>
            </w:tcMar>
          </w:tcPr>
          <w:p>
            <w:r>
              <w:rPr>
                <w:rFonts w:ascii="Inter" w:cs="Inter" w:eastAsia="Inter" w:hAnsi="Inter"/>
                <w:color w:val="0B1F33"/>
                <w:sz w:val="20"/>
                <w:szCs w:val="20"/>
              </w:rPr>
              <w:t xml:space="preserve">Advanced, living capability that is regularly tested, independently validated, and kept current as the environment changes. Continuous improvement processes are in place and demonstrably functioning.</w:t>
            </w:r>
          </w:p>
        </w:tc>
      </w:tr>
    </w:tbl>
    <w:p>
      <w:r>
        <w:br w:type="page"/>
      </w:r>
    </w:p>
    <w:p>
      <w:pPr>
        <w:pBdr>
          <w:bottom w:val="single" w:color="4FA3D1" w:sz="8" w:space="4"/>
        </w:pBdr>
        <w:spacing w:after="220" w:before="360"/>
      </w:pPr>
      <w:r>
        <w:rPr>
          <w:rFonts w:ascii="Inter" w:cs="Inter" w:eastAsia="Inter" w:hAnsi="Inter"/>
          <w:b/>
          <w:bCs/>
          <w:color w:val="0B1F33"/>
          <w:sz w:val="28"/>
          <w:szCs w:val="28"/>
        </w:rPr>
        <w:t xml:space="preserve">FRAMEWORK REFERENCE</w:t>
      </w:r>
    </w:p>
    <w:p>
      <w:pPr>
        <w:spacing w:after="180" w:before="0"/>
      </w:pPr>
      <w:r>
        <w:rPr>
          <w:rFonts w:ascii="Inter" w:cs="Inter" w:eastAsia="Inter" w:hAnsi="Inter"/>
          <w:color w:val="0B1F33"/>
          <w:sz w:val="22"/>
          <w:szCs w:val="22"/>
        </w:rPr>
        <w:t xml:space="preserve">This section provides a reference description of each of the five frameworks incorporated in the scoring methodology, including publisher, scope, and the specific elements most relevant to recovery readiness assessment.</w:t>
      </w:r>
    </w:p>
    <w:p>
      <w:pPr>
        <w:spacing w:after="8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8"/>
              <w:left w:val="single" w:color="0B1F33" w:sz="8"/>
              <w:bottom w:val="single" w:color="0B1F33" w:sz="8"/>
              <w:right w:val="single" w:color="0B1F33" w:sz="8"/>
            </w:tcBorders>
            <w:shd w:fill="0B1F33" w:val="clear"/>
            <w:tcMar>
              <w:top w:type="dxa" w:w="140"/>
              <w:left w:type="dxa" w:w="200"/>
              <w:bottom w:type="dxa" w:w="140"/>
              <w:right w:type="dxa" w:w="200"/>
            </w:tcMar>
          </w:tcPr>
          <w:p>
            <w:r>
              <w:rPr>
                <w:rFonts w:ascii="Inter" w:cs="Inter" w:eastAsia="Inter" w:hAnsi="Inter"/>
                <w:b/>
                <w:bCs/>
                <w:color w:val="FFFFFF"/>
                <w:sz w:val="24"/>
                <w:szCs w:val="24"/>
              </w:rPr>
              <w:t xml:space="preserve">NIST Cybersecurity Framework 2.0</w:t>
            </w:r>
          </w:p>
          <w:p>
            <w:pPr>
              <w:spacing w:after="0" w:before="40"/>
            </w:pPr>
            <w:r>
              <w:rPr>
                <w:rFonts w:ascii="Inter" w:cs="Inter" w:eastAsia="Inter" w:hAnsi="Inter"/>
                <w:color w:val="4FA3D1"/>
                <w:sz w:val="20"/>
                <w:szCs w:val="20"/>
              </w:rPr>
              <w:t xml:space="preserve">NIST CSF 2.0</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Published by:</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National Institute of Standards and Technology (NIST), U.S. Department of Commerce</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Current version:</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February 2024</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Sector scope:</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Cross-sector. Widely adopted across U.S. critical infrastructure and financial services.</w:t>
            </w:r>
          </w:p>
        </w:tc>
      </w:tr>
    </w:tbl>
    <w:p>
      <w:pPr>
        <w:spacing w:after="120" w:before="0"/>
      </w:pPr>
      <w:r>
        <w:t xml:space="preserve"/>
      </w:r>
    </w:p>
    <w:p>
      <w:pPr>
        <w:spacing w:after="80" w:before="180"/>
      </w:pPr>
      <w:r>
        <w:rPr>
          <w:rFonts w:ascii="Inter" w:cs="Inter" w:eastAsia="Inter" w:hAnsi="Inter"/>
          <w:b/>
          <w:bCs/>
          <w:color w:val="3A5A73"/>
          <w:sz w:val="22"/>
          <w:szCs w:val="22"/>
        </w:rPr>
        <w:t xml:space="preserve">Overview</w:t>
      </w:r>
    </w:p>
    <w:p>
      <w:pPr>
        <w:spacing w:after="180" w:before="0"/>
      </w:pPr>
      <w:r>
        <w:rPr>
          <w:rFonts w:ascii="Inter" w:cs="Inter" w:eastAsia="Inter" w:hAnsi="Inter"/>
          <w:color w:val="0B1F33"/>
          <w:sz w:val="22"/>
          <w:szCs w:val="22"/>
        </w:rPr>
        <w:t xml:space="preserve">The NIST CSF 2.0 provides a taxonomy of cybersecurity and resilience outcomes organized across six core functions: Govern, Identify, Protect, Detect, Respond, and Recover. The addition of the Govern function in version 2.0 explicitly elevates organizational governance, accountability, and strategy to a first-class element of the framework. The Recover function — encompassing Incident Recovery Plan Execution (RC.RP) and Incident Recovery Communication (RC.CO) — is the most directly relevant to recovery readiness assessment. The Identify function, particularly Asset Management (ID.AM), Risk Assessment (ID.RA), and Supply Chain Risk Management (ID.SC), maps directly to dependency intelligence.</w:t>
      </w:r>
    </w:p>
    <w:p>
      <w:pPr>
        <w:spacing w:after="60" w:before="0"/>
      </w:pPr>
      <w:r>
        <w:t xml:space="preserve"/>
      </w:r>
    </w:p>
    <w:p>
      <w:pPr>
        <w:spacing w:after="80" w:before="180"/>
      </w:pPr>
      <w:r>
        <w:rPr>
          <w:rFonts w:ascii="Inter" w:cs="Inter" w:eastAsia="Inter" w:hAnsi="Inter"/>
          <w:b/>
          <w:bCs/>
          <w:color w:val="3A5A73"/>
          <w:sz w:val="22"/>
          <w:szCs w:val="22"/>
        </w:rPr>
        <w:t xml:space="preserve">Relevance to This Assessment</w:t>
      </w:r>
    </w:p>
    <w:p>
      <w:pPr>
        <w:spacing w:after="180" w:before="0"/>
      </w:pPr>
      <w:r>
        <w:rPr>
          <w:rFonts w:ascii="Inter" w:cs="Inter" w:eastAsia="Inter" w:hAnsi="Inter"/>
          <w:color w:val="0B1F33"/>
          <w:sz w:val="22"/>
          <w:szCs w:val="22"/>
        </w:rPr>
        <w:t xml:space="preserve">The Cyber Recovery Readiness Assessment and Resilience Journey Assessment draw primarily on the Govern and Recover functions of NIST CSF 2.0, with secondary reference to Identify. The five scoring dimensions of this framework map to specific NIST CSF 2.0 subcategories as detailed in the mapping table.</w:t>
      </w:r>
    </w:p>
    <w:p>
      <w:pPr>
        <w:spacing w:after="100" w:before="0"/>
      </w:pPr>
      <w:r>
        <w:t xml:space="preserve"/>
      </w:r>
    </w:p>
    <w:p>
      <w:pPr>
        <w:spacing w:after="1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8"/>
              <w:left w:val="single" w:color="0B1F33" w:sz="8"/>
              <w:bottom w:val="single" w:color="0B1F33" w:sz="8"/>
              <w:right w:val="single" w:color="0B1F33" w:sz="8"/>
            </w:tcBorders>
            <w:shd w:fill="0B1F33" w:val="clear"/>
            <w:tcMar>
              <w:top w:type="dxa" w:w="140"/>
              <w:left w:type="dxa" w:w="200"/>
              <w:bottom w:type="dxa" w:w="140"/>
              <w:right w:type="dxa" w:w="200"/>
            </w:tcMar>
          </w:tcPr>
          <w:p>
            <w:r>
              <w:rPr>
                <w:rFonts w:ascii="Inter" w:cs="Inter" w:eastAsia="Inter" w:hAnsi="Inter"/>
                <w:b/>
                <w:bCs/>
                <w:color w:val="FFFFFF"/>
                <w:sz w:val="24"/>
                <w:szCs w:val="24"/>
              </w:rPr>
              <w:t xml:space="preserve">Digital Operational Resilience Act</w:t>
            </w:r>
          </w:p>
          <w:p>
            <w:pPr>
              <w:spacing w:after="0" w:before="40"/>
            </w:pPr>
            <w:r>
              <w:rPr>
                <w:rFonts w:ascii="Inter" w:cs="Inter" w:eastAsia="Inter" w:hAnsi="Inter"/>
                <w:color w:val="4FA3D1"/>
                <w:sz w:val="20"/>
                <w:szCs w:val="20"/>
              </w:rPr>
              <w:t xml:space="preserve">DORA (EU) 2022/2554</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Published by:</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European Parliament and Council of the European Union</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Current version:</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December 2022; applicable from January 2025</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Sector scope:</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Mandatory for financial entities operating in the European Union, including banks, investment firms, insurance companies, and their critical ICT third-party service providers.</w:t>
            </w:r>
          </w:p>
        </w:tc>
      </w:tr>
    </w:tbl>
    <w:p>
      <w:pPr>
        <w:spacing w:after="120" w:before="0"/>
      </w:pPr>
      <w:r>
        <w:t xml:space="preserve"/>
      </w:r>
    </w:p>
    <w:p>
      <w:pPr>
        <w:spacing w:after="80" w:before="180"/>
      </w:pPr>
      <w:r>
        <w:rPr>
          <w:rFonts w:ascii="Inter" w:cs="Inter" w:eastAsia="Inter" w:hAnsi="Inter"/>
          <w:b/>
          <w:bCs/>
          <w:color w:val="3A5A73"/>
          <w:sz w:val="22"/>
          <w:szCs w:val="22"/>
        </w:rPr>
        <w:t xml:space="preserve">Overview</w:t>
      </w:r>
    </w:p>
    <w:p>
      <w:pPr>
        <w:spacing w:after="180" w:before="0"/>
      </w:pPr>
      <w:r>
        <w:rPr>
          <w:rFonts w:ascii="Inter" w:cs="Inter" w:eastAsia="Inter" w:hAnsi="Inter"/>
          <w:color w:val="0B1F33"/>
          <w:sz w:val="22"/>
          <w:szCs w:val="22"/>
        </w:rPr>
        <w:t xml:space="preserve">DORA establishes binding requirements for digital operational resilience in the EU financial sector. It covers ICT risk management (Articles 5–16), ICT-related incident management and reporting (Articles 17–23), digital operational resilience testing (Articles 24–27), and ICT third-party risk management (Articles 28–44). Key provisions directly relevant to recovery readiness include: Article 11 (ICT Business Continuity Policy), which requires entities to maintain documented business continuity plans with specific recovery time objectives; Article 12 (ICT Response and Recovery), requiring entities to have in place a dedicated ICT response and recovery plan; and Article 26 (Advanced Testing), requiring threat-led penetration testing for significant financial entities on a triennial basis.</w:t>
      </w:r>
    </w:p>
    <w:p>
      <w:pPr>
        <w:spacing w:after="60" w:before="0"/>
      </w:pPr>
      <w:r>
        <w:t xml:space="preserve"/>
      </w:r>
    </w:p>
    <w:p>
      <w:pPr>
        <w:spacing w:after="80" w:before="180"/>
      </w:pPr>
      <w:r>
        <w:rPr>
          <w:rFonts w:ascii="Inter" w:cs="Inter" w:eastAsia="Inter" w:hAnsi="Inter"/>
          <w:b/>
          <w:bCs/>
          <w:color w:val="3A5A73"/>
          <w:sz w:val="22"/>
          <w:szCs w:val="22"/>
        </w:rPr>
        <w:t xml:space="preserve">Relevance to This Assessment</w:t>
      </w:r>
    </w:p>
    <w:p>
      <w:pPr>
        <w:spacing w:after="180" w:before="0"/>
      </w:pPr>
      <w:r>
        <w:rPr>
          <w:rFonts w:ascii="Inter" w:cs="Inter" w:eastAsia="Inter" w:hAnsi="Inter"/>
          <w:color w:val="0B1F33"/>
          <w:sz w:val="22"/>
          <w:szCs w:val="22"/>
        </w:rPr>
        <w:t xml:space="preserve">DORA's recovery requirements — particularly Articles 11 and 12 — are the most prescriptive regulatory mandates currently in force for EU financial sector recovery readiness. For organizations subject to DORA, the Resilience Journey Assessment provides a structured mechanism to evaluate compliance with these articles and identify gaps before regulatory examination.</w:t>
      </w:r>
    </w:p>
    <w:p>
      <w:pPr>
        <w:spacing w:after="100" w:before="0"/>
      </w:pPr>
      <w:r>
        <w:t xml:space="preserve"/>
      </w:r>
    </w:p>
    <w:p>
      <w:pPr>
        <w:spacing w:after="1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8"/>
              <w:left w:val="single" w:color="0B1F33" w:sz="8"/>
              <w:bottom w:val="single" w:color="0B1F33" w:sz="8"/>
              <w:right w:val="single" w:color="0B1F33" w:sz="8"/>
            </w:tcBorders>
            <w:shd w:fill="0B1F33" w:val="clear"/>
            <w:tcMar>
              <w:top w:type="dxa" w:w="140"/>
              <w:left w:type="dxa" w:w="200"/>
              <w:bottom w:type="dxa" w:w="140"/>
              <w:right w:type="dxa" w:w="200"/>
            </w:tcMar>
          </w:tcPr>
          <w:p>
            <w:r>
              <w:rPr>
                <w:rFonts w:ascii="Inter" w:cs="Inter" w:eastAsia="Inter" w:hAnsi="Inter"/>
                <w:b/>
                <w:bCs/>
                <w:color w:val="FFFFFF"/>
                <w:sz w:val="24"/>
                <w:szCs w:val="24"/>
              </w:rPr>
              <w:t xml:space="preserve">CRI Profile (Cyber Risk Profile)</w:t>
            </w:r>
          </w:p>
          <w:p>
            <w:pPr>
              <w:spacing w:after="0" w:before="40"/>
            </w:pPr>
            <w:r>
              <w:rPr>
                <w:rFonts w:ascii="Inter" w:cs="Inter" w:eastAsia="Inter" w:hAnsi="Inter"/>
                <w:color w:val="4FA3D1"/>
                <w:sz w:val="20"/>
                <w:szCs w:val="20"/>
              </w:rPr>
              <w:t xml:space="preserve">CRI Profile v2.2</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Published by:</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Cyber Risk Institute (CRI). Founder and CEO: Josh Magri. cyberriskinstitute.org</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Current version:</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Current version: v2.2 (April 2026). Developed collaboratively by CRI's global membership of financial institutions, trade associations, and technology providers.</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Sector scope:</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Global financial sector. Widely adopted across banks, insurers, asset managers, and financial market infrastructure. Free to download at cyberriskinstitute.org.</w:t>
            </w:r>
          </w:p>
        </w:tc>
      </w:tr>
    </w:tbl>
    <w:p>
      <w:pPr>
        <w:spacing w:after="120" w:before="0"/>
      </w:pPr>
      <w:r>
        <w:t xml:space="preserve"/>
      </w:r>
    </w:p>
    <w:p>
      <w:pPr>
        <w:spacing w:after="80" w:before="180"/>
      </w:pPr>
      <w:r>
        <w:rPr>
          <w:rFonts w:ascii="Inter" w:cs="Inter" w:eastAsia="Inter" w:hAnsi="Inter"/>
          <w:b/>
          <w:bCs/>
          <w:color w:val="3A5A73"/>
          <w:sz w:val="22"/>
          <w:szCs w:val="22"/>
        </w:rPr>
        <w:t xml:space="preserve">Overview</w:t>
      </w:r>
    </w:p>
    <w:p>
      <w:pPr>
        <w:spacing w:after="180" w:before="0"/>
      </w:pPr>
      <w:r>
        <w:rPr>
          <w:rFonts w:ascii="Inter" w:cs="Inter" w:eastAsia="Inter" w:hAnsi="Inter"/>
          <w:color w:val="0B1F33"/>
          <w:sz w:val="22"/>
          <w:szCs w:val="22"/>
        </w:rPr>
        <w:t xml:space="preserve">The CRI Profile is a globally recognized, industry-developed framework that connects threats to mitigating controls and associated compliance requirements — providing a comprehensive view of cyber and technology risk from the server room to the boardroom. It is structured around Diagnostic Statements that institutions use to assess their cybersecurity and technology risk posture. Version 2.2 includes 40 mappings to leading global regulatory sources and industry standards, making it one of the most comprehensively mapped frameworks available to financial institutions. Importantly, v2.2 does not change the core Diagnostic Statements from prior versions, ensuring continuity for institutions currently using the framework. The CRI also publishes a companion Maturity Model, a Cloud Profile, and the Financial Services AI Risk Management Framework (FS AI RMF). The CRI Profile has been mapped to the FS-ISAC Sector Risk Advisory, creating a direct connection between CRI Profile controls and Sheltered Harbor-aligned resilience priorities.</w:t>
      </w:r>
    </w:p>
    <w:p>
      <w:pPr>
        <w:spacing w:after="60" w:before="0"/>
      </w:pPr>
      <w:r>
        <w:t xml:space="preserve"/>
      </w:r>
    </w:p>
    <w:p>
      <w:pPr>
        <w:spacing w:after="80" w:before="180"/>
      </w:pPr>
      <w:r>
        <w:rPr>
          <w:rFonts w:ascii="Inter" w:cs="Inter" w:eastAsia="Inter" w:hAnsi="Inter"/>
          <w:b/>
          <w:bCs/>
          <w:color w:val="3A5A73"/>
          <w:sz w:val="22"/>
          <w:szCs w:val="22"/>
        </w:rPr>
        <w:t xml:space="preserve">Relevance to This Assessment</w:t>
      </w:r>
    </w:p>
    <w:p>
      <w:pPr>
        <w:spacing w:after="180" w:before="0"/>
      </w:pPr>
      <w:r>
        <w:rPr>
          <w:rFonts w:ascii="Inter" w:cs="Inter" w:eastAsia="Inter" w:hAnsi="Inter"/>
          <w:color w:val="0B1F33"/>
          <w:sz w:val="22"/>
          <w:szCs w:val="22"/>
        </w:rPr>
        <w:t xml:space="preserve">The CRI Profile provides financial sector context and regulatory mapping for dimensions that NIST CSF addresses at a higher level of abstraction. For financial institutions that have completed a CRI Profile assessment, the Cyber Recovery Readiness Assessment and Resilience Journey Assessment provide a targeted recovery-readiness lens that complements rather than duplicates the broader CRI diagnostic. The CRI Profile's 40 regulatory mappings also allow organizations to cross-reference their recovery readiness score against specific regulatory expectations across multiple jurisdictions.</w:t>
      </w:r>
    </w:p>
    <w:p>
      <w:pPr>
        <w:spacing w:after="100" w:before="0"/>
      </w:pPr>
      <w:r>
        <w:t xml:space="preserve"/>
      </w:r>
    </w:p>
    <w:p>
      <w:pPr>
        <w:spacing w:after="1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8"/>
              <w:left w:val="single" w:color="0B1F33" w:sz="8"/>
              <w:bottom w:val="single" w:color="0B1F33" w:sz="8"/>
              <w:right w:val="single" w:color="0B1F33" w:sz="8"/>
            </w:tcBorders>
            <w:shd w:fill="0B1F33" w:val="clear"/>
            <w:tcMar>
              <w:top w:type="dxa" w:w="140"/>
              <w:left w:type="dxa" w:w="200"/>
              <w:bottom w:type="dxa" w:w="140"/>
              <w:right w:type="dxa" w:w="200"/>
            </w:tcMar>
          </w:tcPr>
          <w:p>
            <w:r>
              <w:rPr>
                <w:rFonts w:ascii="Inter" w:cs="Inter" w:eastAsia="Inter" w:hAnsi="Inter"/>
                <w:b/>
                <w:bCs/>
                <w:color w:val="FFFFFF"/>
                <w:sz w:val="24"/>
                <w:szCs w:val="24"/>
              </w:rPr>
              <w:t xml:space="preserve">Sheltered Harbor Maturity Model for Recovery from a Severe Outage</w:t>
            </w:r>
          </w:p>
          <w:p>
            <w:pPr>
              <w:spacing w:after="0" w:before="40"/>
            </w:pPr>
            <w:r>
              <w:rPr>
                <w:rFonts w:ascii="Inter" w:cs="Inter" w:eastAsia="Inter" w:hAnsi="Inter"/>
                <w:color w:val="4FA3D1"/>
                <w:sz w:val="20"/>
                <w:szCs w:val="20"/>
              </w:rPr>
              <w:t xml:space="preserve">Sheltered Harbor</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Published by:</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FS-ISAC (Financial Services Information Sharing and Analysis Center); framework originally authored by the lead developer of this assessment</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Current version:</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2016 (initial); owned and managed by FS-ISAC (fsisac.com)</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Sector scope:</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U.S. financial sector. Adopted by major banks, credit unions, brokerage firms, and financial market infrastructure providers.</w:t>
            </w:r>
          </w:p>
        </w:tc>
      </w:tr>
    </w:tbl>
    <w:p>
      <w:pPr>
        <w:spacing w:after="120" w:before="0"/>
      </w:pPr>
      <w:r>
        <w:t xml:space="preserve"/>
      </w:r>
    </w:p>
    <w:p>
      <w:pPr>
        <w:spacing w:after="80" w:before="180"/>
      </w:pPr>
      <w:r>
        <w:rPr>
          <w:rFonts w:ascii="Inter" w:cs="Inter" w:eastAsia="Inter" w:hAnsi="Inter"/>
          <w:b/>
          <w:bCs/>
          <w:color w:val="3A5A73"/>
          <w:sz w:val="22"/>
          <w:szCs w:val="22"/>
        </w:rPr>
        <w:t xml:space="preserve">Overview</w:t>
      </w:r>
    </w:p>
    <w:p>
      <w:pPr>
        <w:spacing w:after="180" w:before="0"/>
      </w:pPr>
      <w:r>
        <w:rPr>
          <w:rFonts w:ascii="Inter" w:cs="Inter" w:eastAsia="Inter" w:hAnsi="Inter"/>
          <w:color w:val="0B1F33"/>
          <w:sz w:val="22"/>
          <w:szCs w:val="22"/>
        </w:rPr>
        <w:t xml:space="preserve">Sheltered Harbor was created to address a specific and previously unaddressed gap: the ability of financial institutions to recover customer account data and restore minimum viable services following a catastrophic cyber event in which primary systems, conventional backups, and disaster recovery infrastructure are simultaneously compromised or destroyed. The framework establishes requirements for a data vault — an independently managed, air-gapped repository of customer account data updated daily — combined with a tested restoration protocol capable of allowing the institution (or a designated successor) to restore customer access within defined recovery time objectives. The Sheltered Harbor Maturity Model assesses organizational readiness across five domains: Data Vault Establishment, Restoration Protocol Definition, Restoration Protocol Testing, Governance and Oversight, and Continuous Improvement. Sheltered Harbor is now owned and managed by FS-ISAC, the global financial sector's premier cyber intelligence sharing community.</w:t>
      </w:r>
    </w:p>
    <w:p>
      <w:pPr>
        <w:spacing w:after="60" w:before="0"/>
      </w:pPr>
      <w:r>
        <w:t xml:space="preserve"/>
      </w:r>
    </w:p>
    <w:p>
      <w:pPr>
        <w:spacing w:after="80" w:before="180"/>
      </w:pPr>
      <w:r>
        <w:rPr>
          <w:rFonts w:ascii="Inter" w:cs="Inter" w:eastAsia="Inter" w:hAnsi="Inter"/>
          <w:b/>
          <w:bCs/>
          <w:color w:val="3A5A73"/>
          <w:sz w:val="22"/>
          <w:szCs w:val="22"/>
        </w:rPr>
        <w:t xml:space="preserve">Relevance to This Assessment</w:t>
      </w:r>
    </w:p>
    <w:p>
      <w:pPr>
        <w:spacing w:after="180" w:before="0"/>
      </w:pPr>
      <w:r>
        <w:rPr>
          <w:rFonts w:ascii="Inter" w:cs="Inter" w:eastAsia="Inter" w:hAnsi="Inter"/>
          <w:color w:val="0B1F33"/>
          <w:sz w:val="22"/>
          <w:szCs w:val="22"/>
        </w:rPr>
        <w:t xml:space="preserve">Sheltered Harbor is the intellectual and operational foundation of the recovery readiness framework used in this assessment. The Minimum Viable Operation concept, the emphasis on independence from primary systems and conventional backups, the requirement for tested restoration protocols, and the governance and currency requirements all derive directly from the Sheltered Harbor framework. This assessment was developed by the original architect of Sheltered Harbor, ensuring the deepest possible integration of Sheltered Harbor principles into the scoring model.</w:t>
      </w:r>
    </w:p>
    <w:p>
      <w:pPr>
        <w:spacing w:after="100" w:before="0"/>
      </w:pPr>
      <w:r>
        <w:t xml:space="preserve"/>
      </w:r>
    </w:p>
    <w:p>
      <w:pPr>
        <w:spacing w:after="12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1F33" w:sz="8"/>
              <w:left w:val="single" w:color="0B1F33" w:sz="8"/>
              <w:bottom w:val="single" w:color="0B1F33" w:sz="8"/>
              <w:right w:val="single" w:color="0B1F33" w:sz="8"/>
            </w:tcBorders>
            <w:shd w:fill="0B1F33" w:val="clear"/>
            <w:tcMar>
              <w:top w:type="dxa" w:w="140"/>
              <w:left w:type="dxa" w:w="200"/>
              <w:bottom w:type="dxa" w:w="140"/>
              <w:right w:type="dxa" w:w="200"/>
            </w:tcMar>
          </w:tcPr>
          <w:p>
            <w:r>
              <w:rPr>
                <w:rFonts w:ascii="Inter" w:cs="Inter" w:eastAsia="Inter" w:hAnsi="Inter"/>
                <w:b/>
                <w:bCs/>
                <w:color w:val="FFFFFF"/>
                <w:sz w:val="24"/>
                <w:szCs w:val="24"/>
              </w:rPr>
              <w:t xml:space="preserve">Cyber Resilience Capability Maturity Model</w:t>
            </w:r>
          </w:p>
          <w:p>
            <w:pPr>
              <w:spacing w:after="0" w:before="40"/>
            </w:pPr>
            <w:r>
              <w:rPr>
                <w:rFonts w:ascii="Inter" w:cs="Inter" w:eastAsia="Inter" w:hAnsi="Inter"/>
                <w:color w:val="4FA3D1"/>
                <w:sz w:val="20"/>
                <w:szCs w:val="20"/>
              </w:rPr>
              <w:t xml:space="preserve">CR-CMM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160"/>
        <w:gridCol w:w="7920"/>
      </w:tblGrid>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Published by:</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High Value Target (boutique cyber resilience firm); community-driven with Advisory Board for technical integrity. Founded by Francesco Chiarini. cr-cmm.org</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Current version:</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Current version available at cr-cmm.org</w:t>
            </w:r>
          </w:p>
        </w:tc>
      </w:tr>
      <w:tr>
        <w:tc>
          <w:tcPr>
            <w:tcW w:type="dxa" w:w="2160"/>
            <w:tcBorders>
              <w:top w:val="single" w:color="A7B3BF" w:sz="1"/>
              <w:left w:val="single" w:color="A7B3BF" w:sz="1"/>
              <w:bottom w:val="single" w:color="A7B3BF" w:sz="1"/>
              <w:right w:val="single" w:color="A7B3BF" w:sz="1"/>
            </w:tcBorders>
            <w:shd w:fill="F4F6F8" w:val="clear"/>
            <w:tcMar>
              <w:top w:type="dxa" w:w="80"/>
              <w:left w:type="dxa" w:w="120"/>
              <w:bottom w:type="dxa" w:w="80"/>
              <w:right w:type="dxa" w:w="120"/>
            </w:tcMar>
          </w:tcPr>
          <w:p>
            <w:r>
              <w:rPr>
                <w:rFonts w:ascii="Inter" w:cs="Inter" w:eastAsia="Inter" w:hAnsi="Inter"/>
                <w:b/>
                <w:bCs/>
                <w:color w:val="0B1F33"/>
                <w:sz w:val="20"/>
                <w:szCs w:val="20"/>
              </w:rPr>
              <w:t xml:space="preserve">Sector scope:</w:t>
            </w:r>
          </w:p>
        </w:tc>
        <w:tc>
          <w:tcPr>
            <w:tcW w:type="dxa" w:w="7920"/>
            <w:tcBorders>
              <w:top w:val="single" w:color="A7B3BF" w:sz="1"/>
              <w:left w:val="single" w:color="A7B3BF" w:sz="1"/>
              <w:bottom w:val="single" w:color="A7B3BF" w:sz="1"/>
              <w:right w:val="single" w:color="A7B3BF" w:sz="1"/>
            </w:tcBorders>
            <w:shd w:fill="FFFFFF" w:val="clear"/>
            <w:tcMar>
              <w:top w:type="dxa" w:w="80"/>
              <w:left w:type="dxa" w:w="120"/>
              <w:bottom w:type="dxa" w:w="80"/>
              <w:right w:type="dxa" w:w="120"/>
            </w:tcMar>
          </w:tcPr>
          <w:p>
            <w:r>
              <w:rPr>
                <w:rFonts w:ascii="Inter" w:cs="Inter" w:eastAsia="Inter" w:hAnsi="Inter"/>
                <w:color w:val="0B1F33"/>
                <w:sz w:val="20"/>
                <w:szCs w:val="20"/>
              </w:rPr>
              <w:t xml:space="preserve">Cross-sector and size-agnostic. Applicable to any organization assessing cyber resilience maturity. Aligned with NIST SP 800-160, MITRE Cyber Resiliency Engineering Framework, Sheltered Harbor, and other best-in-class frameworks.</w:t>
            </w:r>
          </w:p>
        </w:tc>
      </w:tr>
    </w:tbl>
    <w:p>
      <w:pPr>
        <w:spacing w:after="120" w:before="0"/>
      </w:pPr>
      <w:r>
        <w:t xml:space="preserve"/>
      </w:r>
    </w:p>
    <w:p>
      <w:pPr>
        <w:spacing w:after="80" w:before="180"/>
      </w:pPr>
      <w:r>
        <w:rPr>
          <w:rFonts w:ascii="Inter" w:cs="Inter" w:eastAsia="Inter" w:hAnsi="Inter"/>
          <w:b/>
          <w:bCs/>
          <w:color w:val="3A5A73"/>
          <w:sz w:val="22"/>
          <w:szCs w:val="22"/>
        </w:rPr>
        <w:t xml:space="preserve">Overview</w:t>
      </w:r>
    </w:p>
    <w:p>
      <w:pPr>
        <w:spacing w:after="180" w:before="0"/>
      </w:pPr>
      <w:r>
        <w:rPr>
          <w:rFonts w:ascii="Inter" w:cs="Inter" w:eastAsia="Inter" w:hAnsi="Inter"/>
          <w:color w:val="0B1F33"/>
          <w:sz w:val="22"/>
          <w:szCs w:val="22"/>
        </w:rPr>
        <w:t xml:space="preserve">The CR-CMM is a community-driven, practitioner-built toolkit that helps organizations measure, benchmark, and enhance their cyber resilience across ten key practices. It was developed through comprehensive research in cybersecurity maturity assessment methodologies and is inspired by the SOC-CMM model. Unlike compliance-focused frameworks, the CR-CMM emphasizes sustainable, evidence-based processes that evolve with organizational needs and the changing threat landscape. The ten practices are: Criticality Analysis, Situational Awareness, Threat Informed Defense, Defensible Architecture, Crisis Management, Scenario Simulation, Contingency Testing, System Testing, Offensive Testing, and Cyber Recovery. Each practice contains three focus areas, assessed across four enabling domains: Technology, Process, People, and Business. Maturity levels range from Initial (reactive, uncoordinated) to Optimized (proactive, integrated, continuously improving). The CR-CMM explicitly references Sheltered Harbor as one of the frameworks it aligns with.</w:t>
      </w:r>
    </w:p>
    <w:p>
      <w:pPr>
        <w:spacing w:after="60" w:before="0"/>
      </w:pPr>
      <w:r>
        <w:t xml:space="preserve"/>
      </w:r>
    </w:p>
    <w:p>
      <w:pPr>
        <w:spacing w:after="80" w:before="180"/>
      </w:pPr>
      <w:r>
        <w:rPr>
          <w:rFonts w:ascii="Inter" w:cs="Inter" w:eastAsia="Inter" w:hAnsi="Inter"/>
          <w:b/>
          <w:bCs/>
          <w:color w:val="3A5A73"/>
          <w:sz w:val="22"/>
          <w:szCs w:val="22"/>
        </w:rPr>
        <w:t xml:space="preserve">Relevance to This Assessment</w:t>
      </w:r>
    </w:p>
    <w:p>
      <w:pPr>
        <w:spacing w:after="180" w:before="0"/>
      </w:pPr>
      <w:r>
        <w:rPr>
          <w:rFonts w:ascii="Inter" w:cs="Inter" w:eastAsia="Inter" w:hAnsi="Inter"/>
          <w:color w:val="0B1F33"/>
          <w:sz w:val="22"/>
          <w:szCs w:val="22"/>
        </w:rPr>
        <w:t xml:space="preserve">The CR-CMM contributes the maturity dimension to the scoring framework — the distinction between having a capability and managing it systematically. The five scoring levels in this assessment are calibrated to CR-CMM maturity progression. Practices most directly relevant to recovery readiness scoring include: Criticality Analysis (Business-Impact and Dependency Mapping, Asset Classification), Crisis Management (Governance and Decision Framework, Resumption Operations), Contingency Testing (Backup Integrity and Immutability, Fail-over/Resumption Drills, Third-Party Continuity Assurance), Scenario Simulation (Business Continuity and Executive Simulations), and Cyber Recovery (Recovery Plan Engineering, Recovery Validation and Data Vault, Post-Incident Improvement). The CR-CMM's alignment with NIST SP 800-160 and the MITRE Cyber Resiliency Engineering Framework — and its explicit incorporation of Sheltered Harbor — makes it a particularly coherent companion to this assessment. Practitioners may also reference the CERT Resilience Management Model (CERT-RMM) from Carnegie Mellon University's Software Engineering Institute, which addresses related resilience process areas including Service Continuity and Resilience Requirements Development, and informed the broader maturity model thinking in this space.</w:t>
      </w:r>
    </w:p>
    <w:p>
      <w:pPr>
        <w:spacing w:after="100" w:before="0"/>
      </w:pPr>
      <w:r>
        <w:t xml:space="preserve"/>
      </w:r>
    </w:p>
    <w:p>
      <w:r>
        <w:br w:type="page"/>
      </w:r>
    </w:p>
    <w:p>
      <w:pPr>
        <w:pBdr>
          <w:bottom w:val="single" w:color="4FA3D1" w:sz="8" w:space="4"/>
        </w:pBdr>
        <w:spacing w:after="220" w:before="360"/>
      </w:pPr>
      <w:r>
        <w:rPr>
          <w:rFonts w:ascii="Inter" w:cs="Inter" w:eastAsia="Inter" w:hAnsi="Inter"/>
          <w:b/>
          <w:bCs/>
          <w:color w:val="0B1F33"/>
          <w:sz w:val="28"/>
          <w:szCs w:val="28"/>
        </w:rPr>
        <w:t xml:space="preserve">DIMENSION-TO-FRAMEWORK MAPPING</w:t>
      </w:r>
    </w:p>
    <w:p>
      <w:pPr>
        <w:spacing w:after="180" w:before="0"/>
      </w:pPr>
      <w:r>
        <w:rPr>
          <w:rFonts w:ascii="Inter" w:cs="Inter" w:eastAsia="Inter" w:hAnsi="Inter"/>
          <w:color w:val="0B1F33"/>
          <w:sz w:val="22"/>
          <w:szCs w:val="22"/>
        </w:rPr>
        <w:t xml:space="preserve">The following table maps each scoring dimension to specific elements, articles, categories, or process areas within each referenced framework. Organizations with existing assessments against any of these frameworks can use this table to understand which assessment work is relevant to their Resilience Readiness score and where gaps in their framework compliance correspond to gaps in their recovery readiness.</w:t>
      </w:r>
    </w:p>
    <w:p>
      <w:pPr>
        <w:spacing w:after="10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60"/>
        <w:gridCol w:w="1704"/>
        <w:gridCol w:w="1704"/>
        <w:gridCol w:w="1704"/>
        <w:gridCol w:w="1704"/>
        <w:gridCol w:w="1704"/>
      </w:tblGrid>
      <w:tr>
        <w:trPr>
          <w:tblHeader/>
        </w:trPr>
        <w:tc>
          <w:tcPr>
            <w:tcW w:type="dxa" w:w="1560"/>
            <w:tcBorders>
              <w:top w:val="single" w:color="0B1F33" w:sz="8"/>
              <w:left w:val="single" w:color="0B1F33" w:sz="8"/>
              <w:bottom w:val="single" w:color="0B1F33" w:sz="8"/>
              <w:right w:val="single" w:color="0B1F33" w:sz="8"/>
            </w:tcBorders>
            <w:shd w:fill="0B1F33" w:val="clear"/>
            <w:tcMar>
              <w:top w:type="dxa" w:w="100"/>
              <w:left w:type="dxa" w:w="100"/>
              <w:bottom w:type="dxa" w:w="100"/>
              <w:right w:type="dxa" w:w="100"/>
            </w:tcMar>
          </w:tcPr>
          <w:p>
            <w:r>
              <w:rPr>
                <w:rFonts w:ascii="Inter" w:cs="Inter" w:eastAsia="Inter" w:hAnsi="Inter"/>
                <w:b/>
                <w:bCs/>
                <w:color w:val="FFFFFF"/>
                <w:sz w:val="18"/>
                <w:szCs w:val="18"/>
              </w:rPr>
              <w:t xml:space="preserve">Dimension</w:t>
            </w:r>
          </w:p>
        </w:tc>
        <w:tc>
          <w:tcPr>
            <w:tcW w:type="dxa" w:w="1704"/>
            <w:tcBorders>
              <w:top w:val="single" w:color="0B1F33" w:sz="8"/>
              <w:left w:val="single" w:color="0B1F33" w:sz="8"/>
              <w:bottom w:val="single" w:color="0B1F33" w:sz="8"/>
              <w:right w:val="single" w:color="0B1F33" w:sz="8"/>
            </w:tcBorders>
            <w:shd w:fill="3A5A73" w:val="clear"/>
            <w:tcMar>
              <w:top w:type="dxa" w:w="100"/>
              <w:left w:type="dxa" w:w="100"/>
              <w:bottom w:type="dxa" w:w="100"/>
              <w:right w:type="dxa" w:w="100"/>
            </w:tcMar>
          </w:tcPr>
          <w:p>
            <w:r>
              <w:rPr>
                <w:rFonts w:ascii="Inter" w:cs="Inter" w:eastAsia="Inter" w:hAnsi="Inter"/>
                <w:b/>
                <w:bCs/>
                <w:color w:val="FFFFFF"/>
                <w:sz w:val="17"/>
                <w:szCs w:val="17"/>
              </w:rPr>
              <w:t xml:space="preserve">NIST CSF 2.0</w:t>
            </w:r>
          </w:p>
        </w:tc>
        <w:tc>
          <w:tcPr>
            <w:tcW w:type="dxa" w:w="1704"/>
            <w:tcBorders>
              <w:top w:val="single" w:color="0B1F33" w:sz="8"/>
              <w:left w:val="single" w:color="0B1F33" w:sz="8"/>
              <w:bottom w:val="single" w:color="0B1F33" w:sz="8"/>
              <w:right w:val="single" w:color="0B1F33" w:sz="8"/>
            </w:tcBorders>
            <w:shd w:fill="3A5A73" w:val="clear"/>
            <w:tcMar>
              <w:top w:type="dxa" w:w="100"/>
              <w:left w:type="dxa" w:w="100"/>
              <w:bottom w:type="dxa" w:w="100"/>
              <w:right w:type="dxa" w:w="100"/>
            </w:tcMar>
          </w:tcPr>
          <w:p>
            <w:r>
              <w:rPr>
                <w:rFonts w:ascii="Inter" w:cs="Inter" w:eastAsia="Inter" w:hAnsi="Inter"/>
                <w:b/>
                <w:bCs/>
                <w:color w:val="FFFFFF"/>
                <w:sz w:val="17"/>
                <w:szCs w:val="17"/>
              </w:rPr>
              <w:t xml:space="preserve">DORA</w:t>
            </w:r>
          </w:p>
        </w:tc>
        <w:tc>
          <w:tcPr>
            <w:tcW w:type="dxa" w:w="1704"/>
            <w:tcBorders>
              <w:top w:val="single" w:color="0B1F33" w:sz="8"/>
              <w:left w:val="single" w:color="0B1F33" w:sz="8"/>
              <w:bottom w:val="single" w:color="0B1F33" w:sz="8"/>
              <w:right w:val="single" w:color="0B1F33" w:sz="8"/>
            </w:tcBorders>
            <w:shd w:fill="3A5A73" w:val="clear"/>
            <w:tcMar>
              <w:top w:type="dxa" w:w="100"/>
              <w:left w:type="dxa" w:w="100"/>
              <w:bottom w:type="dxa" w:w="100"/>
              <w:right w:type="dxa" w:w="100"/>
            </w:tcMar>
          </w:tcPr>
          <w:p>
            <w:r>
              <w:rPr>
                <w:rFonts w:ascii="Inter" w:cs="Inter" w:eastAsia="Inter" w:hAnsi="Inter"/>
                <w:b/>
                <w:bCs/>
                <w:color w:val="FFFFFF"/>
                <w:sz w:val="17"/>
                <w:szCs w:val="17"/>
              </w:rPr>
              <w:t xml:space="preserve">Cyber Risk
Profile 2.0</w:t>
            </w:r>
          </w:p>
        </w:tc>
        <w:tc>
          <w:tcPr>
            <w:tcW w:type="dxa" w:w="1704"/>
            <w:tcBorders>
              <w:top w:val="single" w:color="0B1F33" w:sz="8"/>
              <w:left w:val="single" w:color="0B1F33" w:sz="8"/>
              <w:bottom w:val="single" w:color="0B1F33" w:sz="8"/>
              <w:right w:val="single" w:color="0B1F33" w:sz="8"/>
            </w:tcBorders>
            <w:shd w:fill="3A5A73" w:val="clear"/>
            <w:tcMar>
              <w:top w:type="dxa" w:w="100"/>
              <w:left w:type="dxa" w:w="100"/>
              <w:bottom w:type="dxa" w:w="100"/>
              <w:right w:type="dxa" w:w="100"/>
            </w:tcMar>
          </w:tcPr>
          <w:p>
            <w:r>
              <w:rPr>
                <w:rFonts w:ascii="Inter" w:cs="Inter" w:eastAsia="Inter" w:hAnsi="Inter"/>
                <w:b/>
                <w:bCs/>
                <w:color w:val="FFFFFF"/>
                <w:sz w:val="17"/>
                <w:szCs w:val="17"/>
              </w:rPr>
              <w:t xml:space="preserve">Sheltered
Harbor</w:t>
            </w:r>
          </w:p>
        </w:tc>
        <w:tc>
          <w:tcPr>
            <w:tcW w:type="dxa" w:w="1704"/>
            <w:tcBorders>
              <w:top w:val="single" w:color="0B1F33" w:sz="8"/>
              <w:left w:val="single" w:color="0B1F33" w:sz="8"/>
              <w:bottom w:val="single" w:color="0B1F33" w:sz="8"/>
              <w:right w:val="single" w:color="0B1F33" w:sz="8"/>
            </w:tcBorders>
            <w:shd w:fill="3A5A73" w:val="clear"/>
            <w:tcMar>
              <w:top w:type="dxa" w:w="100"/>
              <w:left w:type="dxa" w:w="100"/>
              <w:bottom w:type="dxa" w:w="100"/>
              <w:right w:type="dxa" w:w="100"/>
            </w:tcMar>
          </w:tcPr>
          <w:p>
            <w:r>
              <w:rPr>
                <w:rFonts w:ascii="Inter" w:cs="Inter" w:eastAsia="Inter" w:hAnsi="Inter"/>
                <w:b/>
                <w:bCs/>
                <w:color w:val="FFFFFF"/>
                <w:sz w:val="17"/>
                <w:szCs w:val="17"/>
              </w:rPr>
              <w:t xml:space="preserve">CR-CMM</w:t>
            </w:r>
          </w:p>
        </w:tc>
      </w:tr>
      <w:tr>
        <w:tc>
          <w:tcPr>
            <w:tcW w:type="dxa" w:w="1560"/>
            <w:tcBorders>
              <w:top w:val="single" w:color="A7B3BF" w:sz="1"/>
              <w:left w:val="single" w:color="A7B3BF" w:sz="1"/>
              <w:bottom w:val="single" w:color="A7B3BF" w:sz="1"/>
              <w:right w:val="single" w:color="A7B3BF" w:sz="1"/>
            </w:tcBorders>
            <w:shd w:fill="EBF2F8" w:val="clear"/>
            <w:tcMar>
              <w:top w:type="dxa" w:w="100"/>
              <w:left w:type="dxa" w:w="100"/>
              <w:bottom w:type="dxa" w:w="100"/>
              <w:right w:type="dxa" w:w="100"/>
            </w:tcMar>
            <w:vAlign w:val="top"/>
          </w:tcPr>
          <w:p>
            <w:pPr>
              <w:spacing w:after="60" w:before="0"/>
            </w:pPr>
            <w:r>
              <w:rPr>
                <w:rFonts w:ascii="Inter" w:cs="Inter" w:eastAsia="Inter" w:hAnsi="Inter"/>
                <w:b/>
                <w:bCs/>
                <w:color w:val="0B1F33"/>
                <w:sz w:val="18"/>
                <w:szCs w:val="18"/>
              </w:rPr>
              <w:t xml:space="preserve">1. Outcome Clarity</w:t>
            </w:r>
          </w:p>
          <w:p>
            <w:pPr>
              <w:spacing w:after="0" w:before="0"/>
            </w:pPr>
            <w:r>
              <w:rPr>
                <w:rFonts w:ascii="Inter" w:cs="Inter" w:eastAsia="Inter" w:hAnsi="Inter"/>
                <w:b/>
                <w:bCs/>
                <w:color w:val="4FA3D1"/>
                <w:sz w:val="17"/>
                <w:szCs w:val="17"/>
              </w:rPr>
              <w:t xml:space="preserve">15%</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GV.OC-01 (Organizational Context — mission, objectives)</w:t>
            </w:r>
          </w:p>
          <w:p>
            <w:pPr>
              <w:spacing w:after="0" w:before="40"/>
            </w:pPr>
            <w:r>
              <w:rPr>
                <w:rFonts w:ascii="Inter" w:cs="Inter" w:eastAsia="Inter" w:hAnsi="Inter"/>
                <w:color w:val="0B1F33"/>
                <w:sz w:val="16"/>
                <w:szCs w:val="16"/>
              </w:rPr>
              <w:t xml:space="preserve">ID.BE-01/02/03 (Business Environment — role, criticality)</w:t>
            </w:r>
          </w:p>
          <w:p>
            <w:pPr>
              <w:spacing w:after="0" w:before="40"/>
            </w:pPr>
            <w:r>
              <w:rPr>
                <w:rFonts w:ascii="Inter" w:cs="Inter" w:eastAsia="Inter" w:hAnsi="Inter"/>
                <w:color w:val="0B1F33"/>
                <w:sz w:val="16"/>
                <w:szCs w:val="16"/>
              </w:rPr>
              <w:t xml:space="preserve">RC.RP-01 (Recovery Plan Execution — recovery objectives)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Art. 11(1)(a): ICT business continuity policy must identify critical functions</w:t>
            </w:r>
          </w:p>
          <w:p>
            <w:pPr>
              <w:spacing w:after="0" w:before="40"/>
            </w:pPr>
            <w:r>
              <w:rPr>
                <w:rFonts w:ascii="Inter" w:cs="Inter" w:eastAsia="Inter" w:hAnsi="Inter"/>
                <w:color w:val="0B1F33"/>
                <w:sz w:val="16"/>
                <w:szCs w:val="16"/>
              </w:rPr>
              <w:t xml:space="preserve">Art. 11(5): Recovery objectives must be set for critical functions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 Profile Diagnostic Statements:</w:t>
            </w:r>
          </w:p>
          <w:p>
            <w:pPr>
              <w:spacing w:after="0" w:before="40"/>
            </w:pPr>
            <w:r>
              <w:rPr>
                <w:rFonts w:ascii="Inter" w:cs="Inter" w:eastAsia="Inter" w:hAnsi="Inter"/>
                <w:color w:val="0B1F33"/>
                <w:sz w:val="16"/>
                <w:szCs w:val="16"/>
              </w:rPr>
              <w:t xml:space="preserve">Business Continuity and Resilience — critical function identification</w:t>
            </w:r>
          </w:p>
          <w:p>
            <w:pPr>
              <w:spacing w:after="0" w:before="40"/>
            </w:pPr>
            <w:r>
              <w:rPr>
                <w:rFonts w:ascii="Inter" w:cs="Inter" w:eastAsia="Inter" w:hAnsi="Inter"/>
                <w:color w:val="0B1F33"/>
                <w:sz w:val="16"/>
                <w:szCs w:val="16"/>
              </w:rPr>
              <w:t xml:space="preserve">Governance — roles, responsibilities, and board-level accountability</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Sheltered Harbor Maturity Domain 1: Data Vault Establishment</w:t>
            </w:r>
          </w:p>
          <w:p>
            <w:pPr>
              <w:spacing w:after="0" w:before="40"/>
            </w:pPr>
            <w:r>
              <w:rPr>
                <w:rFonts w:ascii="Inter" w:cs="Inter" w:eastAsia="Inter" w:hAnsi="Inter"/>
                <w:color w:val="0B1F33"/>
                <w:sz w:val="16"/>
                <w:szCs w:val="16"/>
              </w:rPr>
              <w:t xml:space="preserve">(Requires prior identification of minimum viable services and associated data)</w:t>
            </w:r>
          </w:p>
          <w:p>
            <w:pPr>
              <w:spacing w:after="0" w:before="40"/>
            </w:pPr>
            <w:r>
              <w:rPr>
                <w:rFonts w:ascii="Inter" w:cs="Inter" w:eastAsia="Inter" w:hAnsi="Inter"/>
                <w:color w:val="0B1F33"/>
                <w:sz w:val="16"/>
                <w:szCs w:val="16"/>
              </w:rPr>
              <w:t xml:space="preserve">MVO Definition: Foundational prerequisite for Sheltered Harbor compliance</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Criticality Analysis practice:</w:t>
            </w:r>
          </w:p>
          <w:p>
            <w:pPr>
              <w:spacing w:after="0" w:before="40"/>
            </w:pPr>
            <w:r>
              <w:rPr>
                <w:rFonts w:ascii="Inter" w:cs="Inter" w:eastAsia="Inter" w:hAnsi="Inter"/>
                <w:color w:val="0B1F33"/>
                <w:sz w:val="16"/>
                <w:szCs w:val="16"/>
              </w:rPr>
              <w:t xml:space="preserve">— Business-Impact and Dependency Mapping</w:t>
            </w:r>
          </w:p>
          <w:p>
            <w:pPr>
              <w:spacing w:after="0" w:before="40"/>
            </w:pPr>
            <w:r>
              <w:rPr>
                <w:rFonts w:ascii="Inter" w:cs="Inter" w:eastAsia="Inter" w:hAnsi="Inter"/>
                <w:color w:val="0B1F33"/>
                <w:sz w:val="16"/>
                <w:szCs w:val="16"/>
              </w:rPr>
              <w:t xml:space="preserve">— Asset Classification and Ownership</w:t>
            </w:r>
          </w:p>
          <w:p>
            <w:pPr>
              <w:spacing w:after="0" w:before="40"/>
            </w:pPr>
            <w:r>
              <w:rPr>
                <w:rFonts w:ascii="Inter" w:cs="Inter" w:eastAsia="Inter" w:hAnsi="Inter"/>
                <w:color w:val="0B1F33"/>
                <w:sz w:val="16"/>
                <w:szCs w:val="16"/>
              </w:rPr>
              <w:t xml:space="preserve">— Risk Prioritization and Validation</w:t>
            </w:r>
          </w:p>
        </w:tc>
      </w:tr>
      <w:tr>
        <w:tc>
          <w:tcPr>
            <w:tcW w:type="dxa" w:w="1560"/>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60" w:before="0"/>
            </w:pPr>
            <w:r>
              <w:rPr>
                <w:rFonts w:ascii="Inter" w:cs="Inter" w:eastAsia="Inter" w:hAnsi="Inter"/>
                <w:b/>
                <w:bCs/>
                <w:color w:val="0B1F33"/>
                <w:sz w:val="18"/>
                <w:szCs w:val="18"/>
              </w:rPr>
              <w:t xml:space="preserve">2. Dependency Intelligence</w:t>
            </w:r>
          </w:p>
          <w:p>
            <w:pPr>
              <w:spacing w:after="0" w:before="0"/>
            </w:pPr>
            <w:r>
              <w:rPr>
                <w:rFonts w:ascii="Inter" w:cs="Inter" w:eastAsia="Inter" w:hAnsi="Inter"/>
                <w:b/>
                <w:bCs/>
                <w:color w:val="4FA3D1"/>
                <w:sz w:val="17"/>
                <w:szCs w:val="17"/>
              </w:rPr>
              <w:t xml:space="preserve">20%</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ID.AM-01 through 07 (Asset Management — inventory, software, hardware, data, systems, services)</w:t>
            </w:r>
          </w:p>
          <w:p>
            <w:pPr>
              <w:spacing w:after="0" w:before="40"/>
            </w:pPr>
            <w:r>
              <w:rPr>
                <w:rFonts w:ascii="Inter" w:cs="Inter" w:eastAsia="Inter" w:hAnsi="Inter"/>
                <w:color w:val="0B1F33"/>
                <w:sz w:val="16"/>
                <w:szCs w:val="16"/>
              </w:rPr>
              <w:t xml:space="preserve">ID.RA-01/06 (Risk Assessment — vulnerabilities, risk responses)</w:t>
            </w:r>
          </w:p>
          <w:p>
            <w:pPr>
              <w:spacing w:after="0" w:before="40"/>
            </w:pPr>
            <w:r>
              <w:rPr>
                <w:rFonts w:ascii="Inter" w:cs="Inter" w:eastAsia="Inter" w:hAnsi="Inter"/>
                <w:color w:val="0B1F33"/>
                <w:sz w:val="16"/>
                <w:szCs w:val="16"/>
              </w:rPr>
              <w:t xml:space="preserve">ID.SC-01 through 05 (Supply Chain Risk — suppliers, agreements, assessments)</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Art. 8(1)-(4): ICT asset management — identification, classification, documentation</w:t>
            </w:r>
          </w:p>
          <w:p>
            <w:pPr>
              <w:spacing w:after="0" w:before="40"/>
            </w:pPr>
            <w:r>
              <w:rPr>
                <w:rFonts w:ascii="Inter" w:cs="Inter" w:eastAsia="Inter" w:hAnsi="Inter"/>
                <w:color w:val="0B1F33"/>
                <w:sz w:val="16"/>
                <w:szCs w:val="16"/>
              </w:rPr>
              <w:t xml:space="preserve">Art. 8(6): Register of contractual arrangements with ICT third-party providers</w:t>
            </w:r>
          </w:p>
          <w:p>
            <w:pPr>
              <w:spacing w:after="0" w:before="40"/>
            </w:pPr>
            <w:r>
              <w:rPr>
                <w:rFonts w:ascii="Inter" w:cs="Inter" w:eastAsia="Inter" w:hAnsi="Inter"/>
                <w:color w:val="0B1F33"/>
                <w:sz w:val="16"/>
                <w:szCs w:val="16"/>
              </w:rPr>
              <w:t xml:space="preserve">Art. 28: General principles of ICT third-party risk management</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 Profile Diagnostic Statements:</w:t>
            </w:r>
          </w:p>
          <w:p>
            <w:pPr>
              <w:spacing w:after="0" w:before="40"/>
            </w:pPr>
            <w:r>
              <w:rPr>
                <w:rFonts w:ascii="Inter" w:cs="Inter" w:eastAsia="Inter" w:hAnsi="Inter"/>
                <w:color w:val="0B1F33"/>
                <w:sz w:val="16"/>
                <w:szCs w:val="16"/>
              </w:rPr>
              <w:t xml:space="preserve">Supply Chain Risk Management — third-party identification and assessment</w:t>
            </w:r>
          </w:p>
          <w:p>
            <w:pPr>
              <w:spacing w:after="0" w:before="40"/>
            </w:pPr>
            <w:r>
              <w:rPr>
                <w:rFonts w:ascii="Inter" w:cs="Inter" w:eastAsia="Inter" w:hAnsi="Inter"/>
                <w:color w:val="0B1F33"/>
                <w:sz w:val="16"/>
                <w:szCs w:val="16"/>
              </w:rPr>
              <w:t xml:space="preserve">Situational Awareness — asset discovery and management</w:t>
            </w:r>
          </w:p>
          <w:p>
            <w:pPr>
              <w:spacing w:after="0" w:before="40"/>
            </w:pPr>
            <w:r>
              <w:rPr>
                <w:rFonts w:ascii="Inter" w:cs="Inter" w:eastAsia="Inter" w:hAnsi="Inter"/>
                <w:color w:val="0B1F33"/>
                <w:sz w:val="16"/>
                <w:szCs w:val="16"/>
              </w:rPr>
              <w:t xml:space="preserve">Business Continuity and Resilience — dependency mapping requirements</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Sheltered Harbor Domain 1: Data Vault Establishment</w:t>
            </w:r>
          </w:p>
          <w:p>
            <w:pPr>
              <w:spacing w:after="0" w:before="40"/>
            </w:pPr>
            <w:r>
              <w:rPr>
                <w:rFonts w:ascii="Inter" w:cs="Inter" w:eastAsia="Inter" w:hAnsi="Inter"/>
                <w:color w:val="0B1F33"/>
                <w:sz w:val="16"/>
                <w:szCs w:val="16"/>
              </w:rPr>
              <w:t xml:space="preserve">(Requires complete identification of data assets supporting minimum viable services)</w:t>
            </w:r>
          </w:p>
          <w:p>
            <w:pPr>
              <w:spacing w:after="0" w:before="40"/>
            </w:pPr>
            <w:r>
              <w:rPr>
                <w:rFonts w:ascii="Inter" w:cs="Inter" w:eastAsia="Inter" w:hAnsi="Inter"/>
                <w:color w:val="0B1F33"/>
                <w:sz w:val="16"/>
                <w:szCs w:val="16"/>
              </w:rPr>
              <w:t xml:space="preserve">Sheltered Harbor Domain 2: Restoration Protocol Definition</w:t>
            </w:r>
          </w:p>
          <w:p>
            <w:pPr>
              <w:spacing w:after="0" w:before="40"/>
            </w:pPr>
            <w:r>
              <w:rPr>
                <w:rFonts w:ascii="Inter" w:cs="Inter" w:eastAsia="Inter" w:hAnsi="Inter"/>
                <w:color w:val="0B1F33"/>
                <w:sz w:val="16"/>
                <w:szCs w:val="16"/>
              </w:rPr>
              <w:t xml:space="preserve">(Restoration protocol must account for all dependencies)</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Criticality Analysis practice:</w:t>
            </w:r>
          </w:p>
          <w:p>
            <w:pPr>
              <w:spacing w:after="0" w:before="40"/>
            </w:pPr>
            <w:r>
              <w:rPr>
                <w:rFonts w:ascii="Inter" w:cs="Inter" w:eastAsia="Inter" w:hAnsi="Inter"/>
                <w:color w:val="0B1F33"/>
                <w:sz w:val="16"/>
                <w:szCs w:val="16"/>
              </w:rPr>
              <w:t xml:space="preserve">— Business-Impact and Dependency Mapping</w:t>
            </w:r>
          </w:p>
          <w:p>
            <w:pPr>
              <w:spacing w:after="0" w:before="40"/>
            </w:pPr>
            <w:r>
              <w:rPr>
                <w:rFonts w:ascii="Inter" w:cs="Inter" w:eastAsia="Inter" w:hAnsi="Inter"/>
                <w:color w:val="0B1F33"/>
                <w:sz w:val="16"/>
                <w:szCs w:val="16"/>
              </w:rPr>
              <w:t xml:space="preserve">Situational Awareness practice:</w:t>
            </w:r>
          </w:p>
          <w:p>
            <w:pPr>
              <w:spacing w:after="0" w:before="40"/>
            </w:pPr>
            <w:r>
              <w:rPr>
                <w:rFonts w:ascii="Inter" w:cs="Inter" w:eastAsia="Inter" w:hAnsi="Inter"/>
                <w:color w:val="0B1F33"/>
                <w:sz w:val="16"/>
                <w:szCs w:val="16"/>
              </w:rPr>
              <w:t xml:space="preserve">— Internal Telemetry and Detection Engineering</w:t>
            </w:r>
          </w:p>
          <w:p>
            <w:pPr>
              <w:spacing w:after="0" w:before="40"/>
            </w:pPr>
            <w:r>
              <w:rPr>
                <w:rFonts w:ascii="Inter" w:cs="Inter" w:eastAsia="Inter" w:hAnsi="Inter"/>
                <w:color w:val="0B1F33"/>
                <w:sz w:val="16"/>
                <w:szCs w:val="16"/>
              </w:rPr>
              <w:t xml:space="preserve">Contingency Testing practice:</w:t>
            </w:r>
          </w:p>
          <w:p>
            <w:pPr>
              <w:spacing w:after="0" w:before="40"/>
            </w:pPr>
            <w:r>
              <w:rPr>
                <w:rFonts w:ascii="Inter" w:cs="Inter" w:eastAsia="Inter" w:hAnsi="Inter"/>
                <w:color w:val="0B1F33"/>
                <w:sz w:val="16"/>
                <w:szCs w:val="16"/>
              </w:rPr>
              <w:t xml:space="preserve">— Third-Party Continuity Assurance</w:t>
            </w:r>
          </w:p>
        </w:tc>
      </w:tr>
      <w:tr>
        <w:tc>
          <w:tcPr>
            <w:tcW w:type="dxa" w:w="1560"/>
            <w:tcBorders>
              <w:top w:val="single" w:color="A7B3BF" w:sz="1"/>
              <w:left w:val="single" w:color="A7B3BF" w:sz="1"/>
              <w:bottom w:val="single" w:color="A7B3BF" w:sz="1"/>
              <w:right w:val="single" w:color="A7B3BF" w:sz="1"/>
            </w:tcBorders>
            <w:shd w:fill="EBF2F8" w:val="clear"/>
            <w:tcMar>
              <w:top w:type="dxa" w:w="100"/>
              <w:left w:type="dxa" w:w="100"/>
              <w:bottom w:type="dxa" w:w="100"/>
              <w:right w:type="dxa" w:w="100"/>
            </w:tcMar>
            <w:vAlign w:val="top"/>
          </w:tcPr>
          <w:p>
            <w:pPr>
              <w:spacing w:after="60" w:before="0"/>
            </w:pPr>
            <w:r>
              <w:rPr>
                <w:rFonts w:ascii="Inter" w:cs="Inter" w:eastAsia="Inter" w:hAnsi="Inter"/>
                <w:b/>
                <w:bCs/>
                <w:color w:val="0B1F33"/>
                <w:sz w:val="18"/>
                <w:szCs w:val="18"/>
              </w:rPr>
              <w:t xml:space="preserve">3. Restoration Readiness</w:t>
            </w:r>
          </w:p>
          <w:p>
            <w:pPr>
              <w:spacing w:after="0" w:before="0"/>
            </w:pPr>
            <w:r>
              <w:rPr>
                <w:rFonts w:ascii="Inter" w:cs="Inter" w:eastAsia="Inter" w:hAnsi="Inter"/>
                <w:b/>
                <w:bCs/>
                <w:color w:val="4FA3D1"/>
                <w:sz w:val="17"/>
                <w:szCs w:val="17"/>
              </w:rPr>
              <w:t xml:space="preserve">30%</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RC.RP-01 through 06 (Recovery Plan Execution — plan development, execution, testing)</w:t>
            </w:r>
          </w:p>
          <w:p>
            <w:pPr>
              <w:spacing w:after="0" w:before="40"/>
            </w:pPr>
            <w:r>
              <w:rPr>
                <w:rFonts w:ascii="Inter" w:cs="Inter" w:eastAsia="Inter" w:hAnsi="Inter"/>
                <w:color w:val="0B1F33"/>
                <w:sz w:val="16"/>
                <w:szCs w:val="16"/>
              </w:rPr>
              <w:t xml:space="preserve">RC.CO-01 through 04 (Recovery Communication — public relations, reputation, coordination)</w:t>
            </w:r>
          </w:p>
          <w:p>
            <w:pPr>
              <w:spacing w:after="0" w:before="40"/>
            </w:pPr>
            <w:r>
              <w:rPr>
                <w:rFonts w:ascii="Inter" w:cs="Inter" w:eastAsia="Inter" w:hAnsi="Inter"/>
                <w:color w:val="0B1F33"/>
                <w:sz w:val="16"/>
                <w:szCs w:val="16"/>
              </w:rPr>
              <w:t xml:space="preserve">RS.RP-01/02 (Incident Response Plan — execution, lessons learned)</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Art. 11(1)(b)-(f): ICT business continuity policy requirements</w:t>
            </w:r>
          </w:p>
          <w:p>
            <w:pPr>
              <w:spacing w:after="0" w:before="40"/>
            </w:pPr>
            <w:r>
              <w:rPr>
                <w:rFonts w:ascii="Inter" w:cs="Inter" w:eastAsia="Inter" w:hAnsi="Inter"/>
                <w:color w:val="0B1F33"/>
                <w:sz w:val="16"/>
                <w:szCs w:val="16"/>
              </w:rPr>
              <w:t xml:space="preserve">Art. 11(3): BCM must include procedures for activation, crisis communication, and restoration</w:t>
            </w:r>
          </w:p>
          <w:p>
            <w:pPr>
              <w:spacing w:after="0" w:before="40"/>
            </w:pPr>
            <w:r>
              <w:rPr>
                <w:rFonts w:ascii="Inter" w:cs="Inter" w:eastAsia="Inter" w:hAnsi="Inter"/>
                <w:color w:val="0B1F33"/>
                <w:sz w:val="16"/>
                <w:szCs w:val="16"/>
              </w:rPr>
              <w:t xml:space="preserve">Art. 12(1)-(3): ICT response and recovery — comprehensive plans, RTO/RPO definitions</w:t>
            </w:r>
          </w:p>
          <w:p>
            <w:pPr>
              <w:spacing w:after="0" w:before="40"/>
            </w:pPr>
            <w:r>
              <w:rPr>
                <w:rFonts w:ascii="Inter" w:cs="Inter" w:eastAsia="Inter" w:hAnsi="Inter"/>
                <w:color w:val="0B1F33"/>
                <w:sz w:val="16"/>
                <w:szCs w:val="16"/>
              </w:rPr>
              <w:t xml:space="preserve">Art. 12(5): Annual testing and reviews of ICT BCPs</w:t>
            </w:r>
          </w:p>
          <w:p>
            <w:pPr>
              <w:spacing w:after="0" w:before="40"/>
            </w:pPr>
            <w:r>
              <w:rPr>
                <w:rFonts w:ascii="Inter" w:cs="Inter" w:eastAsia="Inter" w:hAnsi="Inter"/>
                <w:color w:val="0B1F33"/>
                <w:sz w:val="16"/>
                <w:szCs w:val="16"/>
              </w:rPr>
              <w:t xml:space="preserve">Art. 26: Advanced testing of ICT tools and systems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 Profile Diagnostic Statements:</w:t>
            </w:r>
          </w:p>
          <w:p>
            <w:pPr>
              <w:spacing w:after="0" w:before="40"/>
            </w:pPr>
            <w:r>
              <w:rPr>
                <w:rFonts w:ascii="Inter" w:cs="Inter" w:eastAsia="Inter" w:hAnsi="Inter"/>
                <w:color w:val="0B1F33"/>
                <w:sz w:val="16"/>
                <w:szCs w:val="16"/>
              </w:rPr>
              <w:t xml:space="preserve">Business Continuity and Resilience — BCP development, testing, and restoration protocols</w:t>
            </w:r>
          </w:p>
          <w:p>
            <w:pPr>
              <w:spacing w:after="0" w:before="40"/>
            </w:pPr>
            <w:r>
              <w:rPr>
                <w:rFonts w:ascii="Inter" w:cs="Inter" w:eastAsia="Inter" w:hAnsi="Inter"/>
                <w:color w:val="0B1F33"/>
                <w:sz w:val="16"/>
                <w:szCs w:val="16"/>
              </w:rPr>
              <w:t xml:space="preserve">Event and Incident Response — recovery procedures</w:t>
            </w:r>
          </w:p>
          <w:p>
            <w:pPr>
              <w:spacing w:after="0" w:before="40"/>
            </w:pPr>
            <w:r>
              <w:rPr>
                <w:rFonts w:ascii="Inter" w:cs="Inter" w:eastAsia="Inter" w:hAnsi="Inter"/>
                <w:color w:val="0B1F33"/>
                <w:sz w:val="16"/>
                <w:szCs w:val="16"/>
              </w:rPr>
              <w:t xml:space="preserve">Crisis Communications — recovery communication requirements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Sheltered Harbor Domain 2: Restoration Protocol Definition (CORE)</w:t>
            </w:r>
          </w:p>
          <w:p>
            <w:pPr>
              <w:spacing w:after="0" w:before="40"/>
            </w:pPr>
            <w:r>
              <w:rPr>
                <w:rFonts w:ascii="Inter" w:cs="Inter" w:eastAsia="Inter" w:hAnsi="Inter"/>
                <w:color w:val="0B1F33"/>
                <w:sz w:val="16"/>
                <w:szCs w:val="16"/>
              </w:rPr>
              <w:t xml:space="preserve">Sheltered Harbor Domain 3: Restoration Protocol Testing (CORE)</w:t>
            </w:r>
          </w:p>
          <w:p>
            <w:pPr>
              <w:spacing w:after="0" w:before="40"/>
            </w:pPr>
            <w:r>
              <w:rPr>
                <w:rFonts w:ascii="Inter" w:cs="Inter" w:eastAsia="Inter" w:hAnsi="Inter"/>
                <w:color w:val="0B1F33"/>
                <w:sz w:val="16"/>
                <w:szCs w:val="16"/>
              </w:rPr>
              <w:t xml:space="preserve">— Air-gapped data vault requirements</w:t>
            </w:r>
          </w:p>
          <w:p>
            <w:pPr>
              <w:spacing w:after="0" w:before="40"/>
            </w:pPr>
            <w:r>
              <w:rPr>
                <w:rFonts w:ascii="Inter" w:cs="Inter" w:eastAsia="Inter" w:hAnsi="Inter"/>
                <w:color w:val="0B1F33"/>
                <w:sz w:val="16"/>
                <w:szCs w:val="16"/>
              </w:rPr>
              <w:t xml:space="preserve">— Independent recovery capability requirements</w:t>
            </w:r>
          </w:p>
          <w:p>
            <w:pPr>
              <w:spacing w:after="0" w:before="40"/>
            </w:pPr>
            <w:r>
              <w:rPr>
                <w:rFonts w:ascii="Inter" w:cs="Inter" w:eastAsia="Inter" w:hAnsi="Inter"/>
                <w:color w:val="0B1F33"/>
                <w:sz w:val="16"/>
                <w:szCs w:val="16"/>
              </w:rPr>
              <w:t xml:space="preserve">— Restoration protocol specificity requirements</w:t>
            </w:r>
          </w:p>
          <w:p>
            <w:pPr>
              <w:spacing w:after="0" w:before="40"/>
            </w:pPr>
            <w:r>
              <w:rPr>
                <w:rFonts w:ascii="Inter" w:cs="Inter" w:eastAsia="Inter" w:hAnsi="Inter"/>
                <w:color w:val="0B1F33"/>
                <w:sz w:val="16"/>
                <w:szCs w:val="16"/>
              </w:rPr>
              <w:t xml:space="preserve">— Testing under realistic severe-outage conditions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Contingency Testing practice:</w:t>
            </w:r>
          </w:p>
          <w:p>
            <w:pPr>
              <w:spacing w:after="0" w:before="40"/>
            </w:pPr>
            <w:r>
              <w:rPr>
                <w:rFonts w:ascii="Inter" w:cs="Inter" w:eastAsia="Inter" w:hAnsi="Inter"/>
                <w:color w:val="0B1F33"/>
                <w:sz w:val="16"/>
                <w:szCs w:val="16"/>
              </w:rPr>
              <w:t xml:space="preserve">— Backup Integrity and Immutability</w:t>
            </w:r>
          </w:p>
          <w:p>
            <w:pPr>
              <w:spacing w:after="0" w:before="40"/>
            </w:pPr>
            <w:r>
              <w:rPr>
                <w:rFonts w:ascii="Inter" w:cs="Inter" w:eastAsia="Inter" w:hAnsi="Inter"/>
                <w:color w:val="0B1F33"/>
                <w:sz w:val="16"/>
                <w:szCs w:val="16"/>
              </w:rPr>
              <w:t xml:space="preserve">— Fail-over / Resumption Drills</w:t>
            </w:r>
          </w:p>
          <w:p>
            <w:pPr>
              <w:spacing w:after="0" w:before="40"/>
            </w:pPr>
            <w:r>
              <w:rPr>
                <w:rFonts w:ascii="Inter" w:cs="Inter" w:eastAsia="Inter" w:hAnsi="Inter"/>
                <w:color w:val="0B1F33"/>
                <w:sz w:val="16"/>
                <w:szCs w:val="16"/>
              </w:rPr>
              <w:t xml:space="preserve">Cyber Recovery practice:</w:t>
            </w:r>
          </w:p>
          <w:p>
            <w:pPr>
              <w:spacing w:after="0" w:before="40"/>
            </w:pPr>
            <w:r>
              <w:rPr>
                <w:rFonts w:ascii="Inter" w:cs="Inter" w:eastAsia="Inter" w:hAnsi="Inter"/>
                <w:color w:val="0B1F33"/>
                <w:sz w:val="16"/>
                <w:szCs w:val="16"/>
              </w:rPr>
              <w:t xml:space="preserve">— Recovery Plan Engineering</w:t>
            </w:r>
          </w:p>
          <w:p>
            <w:pPr>
              <w:spacing w:after="0" w:before="40"/>
            </w:pPr>
            <w:r>
              <w:rPr>
                <w:rFonts w:ascii="Inter" w:cs="Inter" w:eastAsia="Inter" w:hAnsi="Inter"/>
                <w:color w:val="0B1F33"/>
                <w:sz w:val="16"/>
                <w:szCs w:val="16"/>
              </w:rPr>
              <w:t xml:space="preserve">— Recovery Validation and Data Vault</w:t>
            </w:r>
          </w:p>
          <w:p>
            <w:pPr>
              <w:spacing w:after="0" w:before="40"/>
            </w:pPr>
            <w:r>
              <w:rPr>
                <w:rFonts w:ascii="Inter" w:cs="Inter" w:eastAsia="Inter" w:hAnsi="Inter"/>
                <w:color w:val="0B1F33"/>
                <w:sz w:val="16"/>
                <w:szCs w:val="16"/>
              </w:rPr>
              <w:t xml:space="preserve">— Post-Incident Improvement</w:t>
            </w:r>
          </w:p>
        </w:tc>
      </w:tr>
      <w:tr>
        <w:tc>
          <w:tcPr>
            <w:tcW w:type="dxa" w:w="1560"/>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60" w:before="0"/>
            </w:pPr>
            <w:r>
              <w:rPr>
                <w:rFonts w:ascii="Inter" w:cs="Inter" w:eastAsia="Inter" w:hAnsi="Inter"/>
                <w:b/>
                <w:bCs/>
                <w:color w:val="0B1F33"/>
                <w:sz w:val="18"/>
                <w:szCs w:val="18"/>
              </w:rPr>
              <w:t xml:space="preserve">4. Plan Currency and Governance</w:t>
            </w:r>
          </w:p>
          <w:p>
            <w:pPr>
              <w:spacing w:after="0" w:before="0"/>
            </w:pPr>
            <w:r>
              <w:rPr>
                <w:rFonts w:ascii="Inter" w:cs="Inter" w:eastAsia="Inter" w:hAnsi="Inter"/>
                <w:b/>
                <w:bCs/>
                <w:color w:val="4FA3D1"/>
                <w:sz w:val="17"/>
                <w:szCs w:val="17"/>
              </w:rPr>
              <w:t xml:space="preserve">20%</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GV.RM-01 through 07 (Risk Management Strategy — risk tolerance, governance, roles)</w:t>
            </w:r>
          </w:p>
          <w:p>
            <w:pPr>
              <w:spacing w:after="0" w:before="40"/>
            </w:pPr>
            <w:r>
              <w:rPr>
                <w:rFonts w:ascii="Inter" w:cs="Inter" w:eastAsia="Inter" w:hAnsi="Inter"/>
                <w:color w:val="0B1F33"/>
                <w:sz w:val="16"/>
                <w:szCs w:val="16"/>
              </w:rPr>
              <w:t xml:space="preserve">GV.SC-01 through 10 (Supply Chain Risk Governance)</w:t>
            </w:r>
          </w:p>
          <w:p>
            <w:pPr>
              <w:spacing w:after="0" w:before="40"/>
            </w:pPr>
            <w:r>
              <w:rPr>
                <w:rFonts w:ascii="Inter" w:cs="Inter" w:eastAsia="Inter" w:hAnsi="Inter"/>
                <w:color w:val="0B1F33"/>
                <w:sz w:val="16"/>
                <w:szCs w:val="16"/>
              </w:rPr>
              <w:t xml:space="preserve">GV.PO-01/02 (Policy — development, review, update)</w:t>
            </w:r>
          </w:p>
          <w:p>
            <w:pPr>
              <w:spacing w:after="0" w:before="40"/>
            </w:pPr>
            <w:r>
              <w:rPr>
                <w:rFonts w:ascii="Inter" w:cs="Inter" w:eastAsia="Inter" w:hAnsi="Inter"/>
                <w:color w:val="0B1F33"/>
                <w:sz w:val="16"/>
                <w:szCs w:val="16"/>
              </w:rPr>
              <w:t xml:space="preserve">ID.IM-01 through 04 (Improvement — plans, effectiveness, lessons learned)</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Art. 5: Governance and organization — management body responsibility</w:t>
            </w:r>
          </w:p>
          <w:p>
            <w:pPr>
              <w:spacing w:after="0" w:before="40"/>
            </w:pPr>
            <w:r>
              <w:rPr>
                <w:rFonts w:ascii="Inter" w:cs="Inter" w:eastAsia="Inter" w:hAnsi="Inter"/>
                <w:color w:val="0B1F33"/>
                <w:sz w:val="16"/>
                <w:szCs w:val="16"/>
              </w:rPr>
              <w:t xml:space="preserve">Art. 6(1)-(5): ICT risk management framework — internal governance</w:t>
            </w:r>
          </w:p>
          <w:p>
            <w:pPr>
              <w:spacing w:after="0" w:before="40"/>
            </w:pPr>
            <w:r>
              <w:rPr>
                <w:rFonts w:ascii="Inter" w:cs="Inter" w:eastAsia="Inter" w:hAnsi="Inter"/>
                <w:color w:val="0B1F33"/>
                <w:sz w:val="16"/>
                <w:szCs w:val="16"/>
              </w:rPr>
              <w:t xml:space="preserve">Art. 6(6): Management body: defines and approves ICT risk management framework</w:t>
            </w:r>
          </w:p>
          <w:p>
            <w:pPr>
              <w:spacing w:after="0" w:before="40"/>
            </w:pPr>
            <w:r>
              <w:rPr>
                <w:rFonts w:ascii="Inter" w:cs="Inter" w:eastAsia="Inter" w:hAnsi="Inter"/>
                <w:color w:val="0B1F33"/>
                <w:sz w:val="16"/>
                <w:szCs w:val="16"/>
              </w:rPr>
              <w:t xml:space="preserve">Art. 11(7): ICT BCP to be reviewed at least annually and after major incidents</w:t>
            </w:r>
          </w:p>
          <w:p>
            <w:pPr>
              <w:spacing w:after="0" w:before="40"/>
            </w:pPr>
            <w:r>
              <w:rPr>
                <w:rFonts w:ascii="Inter" w:cs="Inter" w:eastAsia="Inter" w:hAnsi="Inter"/>
                <w:color w:val="0B1F33"/>
                <w:sz w:val="16"/>
                <w:szCs w:val="16"/>
              </w:rPr>
              <w:t xml:space="preserve">Art. 16: Simplification of ICT risk management for smaller entities</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 Profile Diagnostic Statements:</w:t>
            </w:r>
          </w:p>
          <w:p>
            <w:pPr>
              <w:spacing w:after="0" w:before="40"/>
            </w:pPr>
            <w:r>
              <w:rPr>
                <w:rFonts w:ascii="Inter" w:cs="Inter" w:eastAsia="Inter" w:hAnsi="Inter"/>
                <w:color w:val="0B1F33"/>
                <w:sz w:val="16"/>
                <w:szCs w:val="16"/>
              </w:rPr>
              <w:t xml:space="preserve">Governance — board and senior management oversight</w:t>
            </w:r>
          </w:p>
          <w:p>
            <w:pPr>
              <w:spacing w:after="0" w:before="40"/>
            </w:pPr>
            <w:r>
              <w:rPr>
                <w:rFonts w:ascii="Inter" w:cs="Inter" w:eastAsia="Inter" w:hAnsi="Inter"/>
                <w:color w:val="0B1F33"/>
                <w:sz w:val="16"/>
                <w:szCs w:val="16"/>
              </w:rPr>
              <w:t xml:space="preserve">Governance — policy review and maintenance processes</w:t>
            </w:r>
          </w:p>
          <w:p>
            <w:pPr>
              <w:spacing w:after="0" w:before="40"/>
            </w:pPr>
            <w:r>
              <w:rPr>
                <w:rFonts w:ascii="Inter" w:cs="Inter" w:eastAsia="Inter" w:hAnsi="Inter"/>
                <w:color w:val="0B1F33"/>
                <w:sz w:val="16"/>
                <w:szCs w:val="16"/>
              </w:rPr>
              <w:t xml:space="preserve">Business Continuity and Resilience — plan currency and governance</w:t>
            </w:r>
          </w:p>
          <w:p>
            <w:pPr>
              <w:spacing w:after="0" w:before="40"/>
            </w:pPr>
            <w:r>
              <w:rPr>
                <w:rFonts w:ascii="Inter" w:cs="Inter" w:eastAsia="Inter" w:hAnsi="Inter"/>
                <w:color w:val="0B1F33"/>
                <w:sz w:val="16"/>
                <w:szCs w:val="16"/>
              </w:rPr>
              <w:t xml:space="preserve">Risk Management — risk governance and oversight structures</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Sheltered Harbor Domain 4: Governance and Oversight</w:t>
            </w:r>
          </w:p>
          <w:p>
            <w:pPr>
              <w:spacing w:after="0" w:before="40"/>
            </w:pPr>
            <w:r>
              <w:rPr>
                <w:rFonts w:ascii="Inter" w:cs="Inter" w:eastAsia="Inter" w:hAnsi="Inter"/>
                <w:color w:val="0B1F33"/>
                <w:sz w:val="16"/>
                <w:szCs w:val="16"/>
              </w:rPr>
              <w:t xml:space="preserve">— Board-level awareness and oversight requirements</w:t>
            </w:r>
          </w:p>
          <w:p>
            <w:pPr>
              <w:spacing w:after="0" w:before="40"/>
            </w:pPr>
            <w:r>
              <w:rPr>
                <w:rFonts w:ascii="Inter" w:cs="Inter" w:eastAsia="Inter" w:hAnsi="Inter"/>
                <w:color w:val="0B1F33"/>
                <w:sz w:val="16"/>
                <w:szCs w:val="16"/>
              </w:rPr>
              <w:t xml:space="preserve">— Annual review and attestation requirements</w:t>
            </w:r>
          </w:p>
          <w:p>
            <w:pPr>
              <w:spacing w:after="0" w:before="40"/>
            </w:pPr>
            <w:r>
              <w:rPr>
                <w:rFonts w:ascii="Inter" w:cs="Inter" w:eastAsia="Inter" w:hAnsi="Inter"/>
                <w:color w:val="0B1F33"/>
                <w:sz w:val="16"/>
                <w:szCs w:val="16"/>
              </w:rPr>
              <w:t xml:space="preserve">— Independent validation requirements</w:t>
            </w:r>
          </w:p>
          <w:p>
            <w:pPr>
              <w:spacing w:after="0" w:before="40"/>
            </w:pPr>
            <w:r>
              <w:rPr>
                <w:rFonts w:ascii="Inter" w:cs="Inter" w:eastAsia="Inter" w:hAnsi="Inter"/>
                <w:color w:val="0B1F33"/>
                <w:sz w:val="16"/>
                <w:szCs w:val="16"/>
              </w:rPr>
              <w:t xml:space="preserve">— Designated accountability for Sheltered Harbor compliance</w:t>
            </w:r>
          </w:p>
          <w:p>
            <w:pPr>
              <w:spacing w:after="0" w:before="40"/>
            </w:pPr>
            <w:r>
              <w:rPr>
                <w:rFonts w:ascii="Inter" w:cs="Inter" w:eastAsia="Inter" w:hAnsi="Inter"/>
                <w:color w:val="0B1F33"/>
                <w:sz w:val="16"/>
                <w:szCs w:val="16"/>
              </w:rPr>
              <w:t xml:space="preserve">Sheltered Harbor Domain 5: Continuous Improvement</w:t>
            </w:r>
          </w:p>
        </w:tc>
        <w:tc>
          <w:tcPr>
            <w:tcW w:type="dxa" w:w="1704"/>
            <w:tcBorders>
              <w:top w:val="single" w:color="A7B3BF" w:sz="1"/>
              <w:left w:val="single" w:color="A7B3BF" w:sz="1"/>
              <w:bottom w:val="single" w:color="A7B3BF" w:sz="1"/>
              <w:right w:val="single" w:color="A7B3BF" w:sz="1"/>
            </w:tcBorders>
            <w:shd w:fill="FFFFFF"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Crisis Management practice:</w:t>
            </w:r>
          </w:p>
          <w:p>
            <w:pPr>
              <w:spacing w:after="0" w:before="40"/>
            </w:pPr>
            <w:r>
              <w:rPr>
                <w:rFonts w:ascii="Inter" w:cs="Inter" w:eastAsia="Inter" w:hAnsi="Inter"/>
                <w:color w:val="0B1F33"/>
                <w:sz w:val="16"/>
                <w:szCs w:val="16"/>
              </w:rPr>
              <w:t xml:space="preserve">— Governance and Decision Framework</w:t>
            </w:r>
          </w:p>
          <w:p>
            <w:pPr>
              <w:spacing w:after="0" w:before="40"/>
            </w:pPr>
            <w:r>
              <w:rPr>
                <w:rFonts w:ascii="Inter" w:cs="Inter" w:eastAsia="Inter" w:hAnsi="Inter"/>
                <w:color w:val="0B1F33"/>
                <w:sz w:val="16"/>
                <w:szCs w:val="16"/>
              </w:rPr>
              <w:t xml:space="preserve">— Communications and Stakeholder Engagement</w:t>
            </w:r>
          </w:p>
          <w:p>
            <w:pPr>
              <w:spacing w:after="0" w:before="40"/>
            </w:pPr>
            <w:r>
              <w:rPr>
                <w:rFonts w:ascii="Inter" w:cs="Inter" w:eastAsia="Inter" w:hAnsi="Inter"/>
                <w:color w:val="0B1F33"/>
                <w:sz w:val="16"/>
                <w:szCs w:val="16"/>
              </w:rPr>
              <w:t xml:space="preserve">Scenario Simulation practice:</w:t>
            </w:r>
          </w:p>
          <w:p>
            <w:pPr>
              <w:spacing w:after="0" w:before="40"/>
            </w:pPr>
            <w:r>
              <w:rPr>
                <w:rFonts w:ascii="Inter" w:cs="Inter" w:eastAsia="Inter" w:hAnsi="Inter"/>
                <w:color w:val="0B1F33"/>
                <w:sz w:val="16"/>
                <w:szCs w:val="16"/>
              </w:rPr>
              <w:t xml:space="preserve">— Business Continuity and Executive Simulations</w:t>
            </w:r>
          </w:p>
          <w:p>
            <w:pPr>
              <w:spacing w:after="0" w:before="40"/>
            </w:pPr>
            <w:r>
              <w:rPr>
                <w:rFonts w:ascii="Inter" w:cs="Inter" w:eastAsia="Inter" w:hAnsi="Inter"/>
                <w:color w:val="0B1F33"/>
                <w:sz w:val="16"/>
                <w:szCs w:val="16"/>
              </w:rPr>
              <w:t xml:space="preserve">All practices: Maturity progression from Initial to Optimized requires clear ownership, documented processes, and board-level accountability</w:t>
            </w:r>
          </w:p>
        </w:tc>
      </w:tr>
      <w:tr>
        <w:tc>
          <w:tcPr>
            <w:tcW w:type="dxa" w:w="1560"/>
            <w:tcBorders>
              <w:top w:val="single" w:color="A7B3BF" w:sz="1"/>
              <w:left w:val="single" w:color="A7B3BF" w:sz="1"/>
              <w:bottom w:val="single" w:color="A7B3BF" w:sz="1"/>
              <w:right w:val="single" w:color="A7B3BF" w:sz="1"/>
            </w:tcBorders>
            <w:shd w:fill="EBF2F8" w:val="clear"/>
            <w:tcMar>
              <w:top w:type="dxa" w:w="100"/>
              <w:left w:type="dxa" w:w="100"/>
              <w:bottom w:type="dxa" w:w="100"/>
              <w:right w:type="dxa" w:w="100"/>
            </w:tcMar>
            <w:vAlign w:val="top"/>
          </w:tcPr>
          <w:p>
            <w:pPr>
              <w:spacing w:after="60" w:before="0"/>
            </w:pPr>
            <w:r>
              <w:rPr>
                <w:rFonts w:ascii="Inter" w:cs="Inter" w:eastAsia="Inter" w:hAnsi="Inter"/>
                <w:b/>
                <w:bCs/>
                <w:color w:val="0B1F33"/>
                <w:sz w:val="18"/>
                <w:szCs w:val="18"/>
              </w:rPr>
              <w:t xml:space="preserve">5. Recovery Velocity</w:t>
            </w:r>
          </w:p>
          <w:p>
            <w:pPr>
              <w:spacing w:after="0" w:before="0"/>
            </w:pPr>
            <w:r>
              <w:rPr>
                <w:rFonts w:ascii="Inter" w:cs="Inter" w:eastAsia="Inter" w:hAnsi="Inter"/>
                <w:b/>
                <w:bCs/>
                <w:color w:val="4FA3D1"/>
                <w:sz w:val="17"/>
                <w:szCs w:val="17"/>
              </w:rPr>
              <w:t xml:space="preserve">15%</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RC.RP-04/05: Recovery plan testing, measurement of effectiveness</w:t>
            </w:r>
          </w:p>
          <w:p>
            <w:pPr>
              <w:spacing w:after="0" w:before="40"/>
            </w:pPr>
            <w:r>
              <w:rPr>
                <w:rFonts w:ascii="Inter" w:cs="Inter" w:eastAsia="Inter" w:hAnsi="Inter"/>
                <w:color w:val="0B1F33"/>
                <w:sz w:val="16"/>
                <w:szCs w:val="16"/>
              </w:rPr>
              <w:t xml:space="preserve">RC.RP-06: Recovery activities and progress are communicated</w:t>
            </w:r>
          </w:p>
          <w:p>
            <w:pPr>
              <w:spacing w:after="0" w:before="40"/>
            </w:pPr>
            <w:r>
              <w:rPr>
                <w:rFonts w:ascii="Inter" w:cs="Inter" w:eastAsia="Inter" w:hAnsi="Inter"/>
                <w:color w:val="0B1F33"/>
                <w:sz w:val="16"/>
                <w:szCs w:val="16"/>
              </w:rPr>
              <w:t xml:space="preserve">RS.AN-03/05: Analysis — forensics, impact assessment</w:t>
            </w:r>
          </w:p>
          <w:p>
            <w:pPr>
              <w:spacing w:after="0" w:before="40"/>
            </w:pPr>
            <w:r>
              <w:rPr>
                <w:rFonts w:ascii="Inter" w:cs="Inter" w:eastAsia="Inter" w:hAnsi="Inter"/>
                <w:color w:val="0B1F33"/>
                <w:sz w:val="16"/>
                <w:szCs w:val="16"/>
              </w:rPr>
              <w:t xml:space="preserve">ID.IM-02/03: Improvement — effectiveness of activities, improvement plans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Art. 11(1)(c): ICT BCP must define RTO and RPO for critical functions</w:t>
            </w:r>
          </w:p>
          <w:p>
            <w:pPr>
              <w:spacing w:after="0" w:before="40"/>
            </w:pPr>
            <w:r>
              <w:rPr>
                <w:rFonts w:ascii="Inter" w:cs="Inter" w:eastAsia="Inter" w:hAnsi="Inter"/>
                <w:color w:val="0B1F33"/>
                <w:sz w:val="16"/>
                <w:szCs w:val="16"/>
              </w:rPr>
              <w:t xml:space="preserve">Art. 12(2): ICT response and recovery plan must include recovery time objectives</w:t>
            </w:r>
          </w:p>
          <w:p>
            <w:pPr>
              <w:spacing w:after="0" w:before="40"/>
            </w:pPr>
            <w:r>
              <w:rPr>
                <w:rFonts w:ascii="Inter" w:cs="Inter" w:eastAsia="Inter" w:hAnsi="Inter"/>
                <w:color w:val="0B1F33"/>
                <w:sz w:val="16"/>
                <w:szCs w:val="16"/>
              </w:rPr>
              <w:t xml:space="preserve">Art. 24(1)-(3): General requirements for digital operational resilience testing</w:t>
            </w:r>
          </w:p>
          <w:p>
            <w:pPr>
              <w:spacing w:after="0" w:before="40"/>
            </w:pPr>
            <w:r>
              <w:rPr>
                <w:rFonts w:ascii="Inter" w:cs="Inter" w:eastAsia="Inter" w:hAnsi="Inter"/>
                <w:color w:val="0B1F33"/>
                <w:sz w:val="16"/>
                <w:szCs w:val="16"/>
              </w:rPr>
              <w:t xml:space="preserve">Art. 25: Testing of ICT tools and systems — annual testing requirements</w:t>
            </w:r>
          </w:p>
          <w:p>
            <w:pPr>
              <w:spacing w:after="0" w:before="40"/>
            </w:pPr>
            <w:r>
              <w:rPr>
                <w:rFonts w:ascii="Inter" w:cs="Inter" w:eastAsia="Inter" w:hAnsi="Inter"/>
                <w:color w:val="0B1F33"/>
                <w:sz w:val="16"/>
                <w:szCs w:val="16"/>
              </w:rPr>
              <w:t xml:space="preserve">Art. 26: Advanced threat-led penetration testing (TLPT) for significant entities</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CRI Profile Diagnostic Statements:</w:t>
            </w:r>
          </w:p>
          <w:p>
            <w:pPr>
              <w:spacing w:after="0" w:before="40"/>
            </w:pPr>
            <w:r>
              <w:rPr>
                <w:rFonts w:ascii="Inter" w:cs="Inter" w:eastAsia="Inter" w:hAnsi="Inter"/>
                <w:color w:val="0B1F33"/>
                <w:sz w:val="16"/>
                <w:szCs w:val="16"/>
              </w:rPr>
              <w:t xml:space="preserve">Business Continuity and Resilience — RTO/RPO definition and testing validation</w:t>
            </w:r>
          </w:p>
          <w:p>
            <w:pPr>
              <w:spacing w:after="0" w:before="40"/>
            </w:pPr>
            <w:r>
              <w:rPr>
                <w:rFonts w:ascii="Inter" w:cs="Inter" w:eastAsia="Inter" w:hAnsi="Inter"/>
                <w:color w:val="0B1F33"/>
                <w:sz w:val="16"/>
                <w:szCs w:val="16"/>
              </w:rPr>
              <w:t xml:space="preserve">Event and Incident Response — exercise and testing program requirements</w:t>
            </w:r>
          </w:p>
          <w:p>
            <w:pPr>
              <w:spacing w:after="0" w:before="40"/>
            </w:pPr>
            <w:r>
              <w:rPr>
                <w:rFonts w:ascii="Inter" w:cs="Inter" w:eastAsia="Inter" w:hAnsi="Inter"/>
                <w:color w:val="0B1F33"/>
                <w:sz w:val="16"/>
                <w:szCs w:val="16"/>
              </w:rPr>
              <w:t xml:space="preserve">Situational Awareness — recovery monitoring and performance measurement</w:t>
            </w:r>
          </w:p>
          <w:p>
            <w:pPr>
              <w:spacing w:after="0" w:before="40"/>
            </w:pPr>
            <w:r>
              <w:rPr>
                <w:rFonts w:ascii="Inter" w:cs="Inter" w:eastAsia="Inter" w:hAnsi="Inter"/>
                <w:color w:val="0B1F33"/>
                <w:sz w:val="16"/>
                <w:szCs w:val="16"/>
              </w:rPr>
              <w:t xml:space="preserve">Business Continuity and Resilience — after-action review and continuous improvement</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Sheltered Harbor Domain 3: Restoration Protocol Testing</w:t>
            </w:r>
          </w:p>
          <w:p>
            <w:pPr>
              <w:spacing w:after="0" w:before="40"/>
            </w:pPr>
            <w:r>
              <w:rPr>
                <w:rFonts w:ascii="Inter" w:cs="Inter" w:eastAsia="Inter" w:hAnsi="Inter"/>
                <w:color w:val="0B1F33"/>
                <w:sz w:val="16"/>
                <w:szCs w:val="16"/>
              </w:rPr>
              <w:t xml:space="preserve">— Mandatory testing of restoration protocol</w:t>
            </w:r>
          </w:p>
          <w:p>
            <w:pPr>
              <w:spacing w:after="0" w:before="40"/>
            </w:pPr>
            <w:r>
              <w:rPr>
                <w:rFonts w:ascii="Inter" w:cs="Inter" w:eastAsia="Inter" w:hAnsi="Inter"/>
                <w:color w:val="0B1F33"/>
                <w:sz w:val="16"/>
                <w:szCs w:val="16"/>
              </w:rPr>
              <w:t xml:space="preserve">— Recovery time measurement and validation</w:t>
            </w:r>
          </w:p>
          <w:p>
            <w:pPr>
              <w:spacing w:after="0" w:before="40"/>
            </w:pPr>
            <w:r>
              <w:rPr>
                <w:rFonts w:ascii="Inter" w:cs="Inter" w:eastAsia="Inter" w:hAnsi="Inter"/>
                <w:color w:val="0B1F33"/>
                <w:sz w:val="16"/>
                <w:szCs w:val="16"/>
              </w:rPr>
              <w:t xml:space="preserve">— Leadership participation in restoration exercises</w:t>
            </w:r>
          </w:p>
          <w:p>
            <w:pPr>
              <w:spacing w:after="0" w:before="40"/>
            </w:pPr>
            <w:r>
              <w:rPr>
                <w:rFonts w:ascii="Inter" w:cs="Inter" w:eastAsia="Inter" w:hAnsi="Inter"/>
                <w:color w:val="0B1F33"/>
                <w:sz w:val="16"/>
                <w:szCs w:val="16"/>
              </w:rPr>
              <w:t xml:space="preserve">— Lesson incorporation and protocol updates post-exercise</w:t>
            </w:r>
          </w:p>
        </w:tc>
        <w:tc>
          <w:tcPr>
            <w:tcW w:type="dxa" w:w="1704"/>
            <w:tcBorders>
              <w:top w:val="single" w:color="A7B3BF" w:sz="1"/>
              <w:left w:val="single" w:color="A7B3BF" w:sz="1"/>
              <w:bottom w:val="single" w:color="A7B3BF" w:sz="1"/>
              <w:right w:val="single" w:color="A7B3BF" w:sz="1"/>
            </w:tcBorders>
            <w:shd w:fill="F4F6F8" w:val="clear"/>
            <w:tcMar>
              <w:top w:type="dxa" w:w="100"/>
              <w:left w:type="dxa" w:w="100"/>
              <w:bottom w:type="dxa" w:w="100"/>
              <w:right w:type="dxa" w:w="100"/>
            </w:tcMar>
            <w:vAlign w:val="top"/>
          </w:tcPr>
          <w:p>
            <w:pPr>
              <w:spacing w:after="0" w:before="0"/>
            </w:pPr>
            <w:r>
              <w:rPr>
                <w:rFonts w:ascii="Inter" w:cs="Inter" w:eastAsia="Inter" w:hAnsi="Inter"/>
                <w:color w:val="0B1F33"/>
                <w:sz w:val="16"/>
                <w:szCs w:val="16"/>
              </w:rPr>
              <w:t xml:space="preserve">Scenario Simulation practice:</w:t>
            </w:r>
          </w:p>
          <w:p>
            <w:pPr>
              <w:spacing w:after="0" w:before="40"/>
            </w:pPr>
            <w:r>
              <w:rPr>
                <w:rFonts w:ascii="Inter" w:cs="Inter" w:eastAsia="Inter" w:hAnsi="Inter"/>
                <w:color w:val="0B1F33"/>
                <w:sz w:val="16"/>
                <w:szCs w:val="16"/>
              </w:rPr>
              <w:t xml:space="preserve">— Table-Top Exercises (TTX)</w:t>
            </w:r>
          </w:p>
          <w:p>
            <w:pPr>
              <w:spacing w:after="0" w:before="40"/>
            </w:pPr>
            <w:r>
              <w:rPr>
                <w:rFonts w:ascii="Inter" w:cs="Inter" w:eastAsia="Inter" w:hAnsi="Inter"/>
                <w:color w:val="0B1F33"/>
                <w:sz w:val="16"/>
                <w:szCs w:val="16"/>
              </w:rPr>
              <w:t xml:space="preserve">— Business Continuity and Executive Simulations</w:t>
            </w:r>
          </w:p>
          <w:p>
            <w:pPr>
              <w:spacing w:after="0" w:before="40"/>
            </w:pPr>
            <w:r>
              <w:rPr>
                <w:rFonts w:ascii="Inter" w:cs="Inter" w:eastAsia="Inter" w:hAnsi="Inter"/>
                <w:color w:val="0B1F33"/>
                <w:sz w:val="16"/>
                <w:szCs w:val="16"/>
              </w:rPr>
              <w:t xml:space="preserve">Cyber Recovery practice:</w:t>
            </w:r>
          </w:p>
          <w:p>
            <w:pPr>
              <w:spacing w:after="0" w:before="40"/>
            </w:pPr>
            <w:r>
              <w:rPr>
                <w:rFonts w:ascii="Inter" w:cs="Inter" w:eastAsia="Inter" w:hAnsi="Inter"/>
                <w:color w:val="0B1F33"/>
                <w:sz w:val="16"/>
                <w:szCs w:val="16"/>
              </w:rPr>
              <w:t xml:space="preserve">— Recovery Validation and Data Vault</w:t>
            </w:r>
          </w:p>
          <w:p>
            <w:pPr>
              <w:spacing w:after="0" w:before="40"/>
            </w:pPr>
            <w:r>
              <w:rPr>
                <w:rFonts w:ascii="Inter" w:cs="Inter" w:eastAsia="Inter" w:hAnsi="Inter"/>
                <w:color w:val="0B1F33"/>
                <w:sz w:val="16"/>
                <w:szCs w:val="16"/>
              </w:rPr>
              <w:t xml:space="preserve">— Post-Incident Improvement</w:t>
            </w:r>
          </w:p>
          <w:p>
            <w:pPr>
              <w:spacing w:after="0" w:before="40"/>
            </w:pPr>
            <w:r>
              <w:rPr>
                <w:rFonts w:ascii="Inter" w:cs="Inter" w:eastAsia="Inter" w:hAnsi="Inter"/>
                <w:color w:val="0B1F33"/>
                <w:sz w:val="16"/>
                <w:szCs w:val="16"/>
              </w:rPr>
              <w:t xml:space="preserve">Contingency Testing practice:</w:t>
            </w:r>
          </w:p>
          <w:p>
            <w:pPr>
              <w:spacing w:after="0" w:before="40"/>
            </w:pPr>
            <w:r>
              <w:rPr>
                <w:rFonts w:ascii="Inter" w:cs="Inter" w:eastAsia="Inter" w:hAnsi="Inter"/>
                <w:color w:val="0B1F33"/>
                <w:sz w:val="16"/>
                <w:szCs w:val="16"/>
              </w:rPr>
              <w:t xml:space="preserve">— Fail-over / Resumption Drills</w:t>
            </w:r>
          </w:p>
        </w:tc>
      </w:tr>
    </w:tbl>
    <w:p>
      <w:r>
        <w:br w:type="page"/>
      </w:r>
    </w:p>
    <w:p>
      <w:pPr>
        <w:pBdr>
          <w:bottom w:val="single" w:color="4FA3D1" w:sz="8" w:space="4"/>
        </w:pBdr>
        <w:spacing w:after="220" w:before="360"/>
      </w:pPr>
      <w:r>
        <w:rPr>
          <w:rFonts w:ascii="Inter" w:cs="Inter" w:eastAsia="Inter" w:hAnsi="Inter"/>
          <w:b/>
          <w:bCs/>
          <w:color w:val="0B1F33"/>
          <w:sz w:val="28"/>
          <w:szCs w:val="28"/>
        </w:rPr>
        <w:t xml:space="preserve">ABOUT RESILIENCE BY DESIGN</w:t>
      </w:r>
    </w:p>
    <w:p>
      <w:pPr>
        <w:spacing w:after="180" w:before="0"/>
      </w:pPr>
      <w:r>
        <w:rPr>
          <w:rFonts w:ascii="Inter" w:cs="Inter" w:eastAsia="Inter" w:hAnsi="Inter"/>
          <w:color w:val="0B1F33"/>
          <w:sz w:val="22"/>
          <w:szCs w:val="22"/>
        </w:rPr>
        <w:t xml:space="preserve">Resilience by Design was founded to address a specific and persistent gap in how organizations approach operational resilience: the difference between investing in security and being genuinely prepared to recover. Most organizations have done the former; very few have done the latter with the rigor that a severe cyber outage demands.</w:t>
      </w:r>
    </w:p>
    <w:p>
      <w:pPr>
        <w:spacing w:after="180" w:before="0"/>
      </w:pPr>
      <w:r>
        <w:rPr>
          <w:rFonts w:ascii="Inter" w:cs="Inter" w:eastAsia="Inter" w:hAnsi="Inter"/>
          <w:color w:val="0B1F33"/>
          <w:sz w:val="22"/>
          <w:szCs w:val="22"/>
        </w:rPr>
        <w:t xml:space="preserve">The firm's work is grounded in direct experience building the Sheltered Harbor framework — the U.S. financial sector's primary mechanism for severe-outage recovery readiness — and in the recognition that the analytical and planning work required to achieve genuine resilience has historically been too expensive, too time-consuming, and too dependent on deep institutional knowledge to be accessible to most organizations. Advances in AI-assisted dependency mapping and planning now make that work achievable at a fraction of the previous cost and time.</w:t>
      </w:r>
    </w:p>
    <w:p>
      <w:pPr>
        <w:spacing w:after="120" w:before="240"/>
      </w:pPr>
      <w:r>
        <w:rPr>
          <w:rFonts w:ascii="Inter" w:cs="Inter" w:eastAsia="Inter" w:hAnsi="Inter"/>
          <w:b/>
          <w:bCs/>
          <w:color w:val="0B1F33"/>
          <w:sz w:val="24"/>
          <w:szCs w:val="24"/>
        </w:rPr>
        <w:t xml:space="preserve">Services</w:t>
      </w:r>
    </w:p>
    <w:p>
      <w:pPr>
        <w:spacing w:after="180" w:before="0"/>
      </w:pPr>
      <w:r>
        <w:rPr>
          <w:rFonts w:ascii="Inter" w:cs="Inter" w:eastAsia="Inter" w:hAnsi="Inter"/>
          <w:color w:val="0B1F33"/>
          <w:sz w:val="22"/>
          <w:szCs w:val="22"/>
        </w:rPr>
        <w:t xml:space="preserve">Board Advisory — Strategic resilience advisory for boards and C-suite leadership teams. ResiliencebyDesign.com</w:t>
      </w:r>
    </w:p>
    <w:p>
      <w:pPr>
        <w:spacing w:after="180" w:before="0"/>
      </w:pPr>
      <w:r>
        <w:rPr>
          <w:rFonts w:ascii="Inter" w:cs="Inter" w:eastAsia="Inter" w:hAnsi="Inter"/>
          <w:color w:val="0B1F33"/>
          <w:sz w:val="22"/>
          <w:szCs w:val="22"/>
        </w:rPr>
        <w:t xml:space="preserve">Resilience Journey Assessment — The facilitated leadership workshop documented in this series. Available for financial sector and critical infrastructure organizations.</w:t>
      </w:r>
    </w:p>
    <w:p>
      <w:pPr>
        <w:spacing w:after="180" w:before="0"/>
      </w:pPr>
      <w:r>
        <w:rPr>
          <w:rFonts w:ascii="Inter" w:cs="Inter" w:eastAsia="Inter" w:hAnsi="Inter"/>
          <w:color w:val="0B1F33"/>
          <w:sz w:val="22"/>
          <w:szCs w:val="22"/>
        </w:rPr>
        <w:t xml:space="preserve">Cyber Resilience Education — Leadership and operator education. CyberResilienceAcademy.com</w:t>
      </w:r>
    </w:p>
    <w:p>
      <w:pPr>
        <w:spacing w:after="180" w:before="0"/>
      </w:pPr>
      <w:r>
        <w:rPr>
          <w:rFonts w:ascii="Inter" w:cs="Inter" w:eastAsia="Inter" w:hAnsi="Inter"/>
          <w:color w:val="0B1F33"/>
          <w:sz w:val="22"/>
          <w:szCs w:val="22"/>
        </w:rPr>
        <w:t xml:space="preserve">Resilience Management as a Service — Ongoing independent oversight, AI-assisted plan currency, and validated Board reporting. In development.</w:t>
      </w:r>
    </w:p>
    <w:p>
      <w:pPr>
        <w:spacing w:after="180" w:before="0"/>
      </w:pPr>
      <w:r>
        <w:rPr>
          <w:rFonts w:ascii="Inter" w:cs="Inter" w:eastAsia="Inter" w:hAnsi="Inter"/>
          <w:color w:val="0B1F33"/>
          <w:sz w:val="22"/>
          <w:szCs w:val="22"/>
        </w:rPr>
        <w:t xml:space="preserve">Regulator Education — Training for U.S. financial regulators on the Sheltered Harbor approach to cyber resilience and the evaluation of institutional recovery readiness.</w:t>
      </w:r>
    </w:p>
    <w:p>
      <w:pPr>
        <w:spacing w:after="160" w:before="0"/>
      </w:pPr>
      <w:r>
        <w:t xml:space="preserve"/>
      </w:r>
    </w:p>
    <w:p>
      <w:pPr>
        <w:spacing w:after="120" w:before="240"/>
      </w:pPr>
      <w:r>
        <w:rPr>
          <w:rFonts w:ascii="Inter" w:cs="Inter" w:eastAsia="Inter" w:hAnsi="Inter"/>
          <w:b/>
          <w:bCs/>
          <w:color w:val="0B1F33"/>
          <w:sz w:val="24"/>
          <w:szCs w:val="24"/>
        </w:rPr>
        <w:t xml:space="preserve">Contact</w:t>
      </w:r>
    </w:p>
    <w:p>
      <w:pPr>
        <w:spacing w:after="180" w:before="0"/>
      </w:pPr>
      <w:r>
        <w:rPr>
          <w:rFonts w:ascii="Inter" w:cs="Inter" w:eastAsia="Inter" w:hAnsi="Inter"/>
          <w:color w:val="0B1F33"/>
          <w:sz w:val="22"/>
          <w:szCs w:val="22"/>
        </w:rPr>
        <w:t xml:space="preserve">ResiliencebyDesign.com  |  SuccessfulTechnology.com  |  CyberResilienceAcademy.com</w:t>
      </w:r>
    </w:p>
    <w:p>
      <w:pPr>
        <w:spacing w:after="160" w:before="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
        <w:gridCol w:w="9900"/>
      </w:tblGrid>
      <w:tr>
        <w:tc>
          <w:tcPr>
            <w:tcW w:type="dxa" w:w="180"/>
            <w:tcBorders>
              <w:top w:val="none" w:color="FFFFFF" w:sz="0"/>
              <w:left w:val="none" w:color="FFFFFF" w:sz="0"/>
              <w:bottom w:val="none" w:color="FFFFFF" w:sz="0"/>
              <w:right w:val="none" w:color="FFFFFF" w:sz="0"/>
            </w:tcBorders>
            <w:shd w:fill="4FA3D1" w:val="clear"/>
            <w:tcMar>
              <w:top w:type="dxa" w:w="0"/>
              <w:left w:type="dxa" w:w="0"/>
              <w:bottom w:type="dxa" w:w="0"/>
              <w:right w:type="dxa" w:w="0"/>
            </w:tcMar>
          </w:tcPr>
          <w:p/>
        </w:tc>
        <w:tc>
          <w:tcPr>
            <w:tcW w:type="dxa" w:w="9900"/>
            <w:tcBorders>
              <w:top w:val="none" w:color="FFFFFF" w:sz="0"/>
              <w:left w:val="none" w:color="FFFFFF" w:sz="0"/>
              <w:bottom w:val="none" w:color="FFFFFF" w:sz="0"/>
              <w:right w:val="none" w:color="FFFFFF" w:sz="0"/>
            </w:tcBorders>
            <w:shd w:fill="F4F6F8" w:val="clear"/>
            <w:tcMar>
              <w:top w:type="dxa" w:w="120"/>
              <w:left w:type="dxa" w:w="200"/>
              <w:bottom w:type="dxa" w:w="120"/>
              <w:right w:type="dxa" w:w="160"/>
            </w:tcMar>
          </w:tcPr>
          <w:p>
            <w:r>
              <w:rPr>
                <w:rFonts w:ascii="Inter" w:cs="Inter" w:eastAsia="Inter" w:hAnsi="Inter"/>
                <w:color w:val="A7B3BF"/>
                <w:sz w:val="18"/>
                <w:szCs w:val="18"/>
              </w:rPr>
              <w:t xml:space="preserve">© 2026 Resilience by Design. All rights reserved. This document may be shared with boards, regulators, and organizational stakeholders for the purpose of understanding the methodological basis of the Resilience Readiness Assessment. It may not be reproduced, adapted, or used to develop competing assessment instruments without written permission.</w:t>
            </w:r>
          </w:p>
        </w:tc>
      </w:tr>
    </w:tbl>
    <w:sectPr>
      <w:headerReference w:type="default" r:id="rId7"/>
      <w:footerReference w:type="default" r:id="rId8"/>
      <w:type w:val="nextPage"/>
      <w:pgSz w:w="12240" w:h="15840" w:orient="portrait"/>
      <w:pgMar w:top="1300" w:right="1080" w:bottom="12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FA3D1" w:sz="4" w:space="4"/>
      </w:pBdr>
      <w:tabs>
        <w:tab w:val="right" w:pos="10080"/>
      </w:tabs>
    </w:pPr>
    <w:r>
      <w:rPr>
        <w:rFonts w:ascii="Inter" w:cs="Inter" w:eastAsia="Inter" w:hAnsi="Inter"/>
        <w:color w:val="A7B3BF"/>
        <w:sz w:val="16"/>
        <w:szCs w:val="16"/>
      </w:rPr>
      <w:t xml:space="preserve">© 2026 Resilience by Design. All rights reserved.</w:t>
    </w:r>
    <w:r>
      <w:t xml:space="preserve">	Page </w:t>
    </w:r>
    <w:r>
      <w:rPr>
        <w:rFonts w:ascii="Inter" w:cs="Inter" w:eastAsia="Inter" w:hAnsi="Inter"/>
        <w:color w:val="A7B3BF"/>
        <w:sz w:val="16"/>
        <w:szCs w:val="16"/>
      </w:rPr>
      <w:fldChar w:fldCharType="begin"/>
      <w:instrText xml:space="preserve">PAGE</w:instrText>
      <w:fldChar w:fldCharType="separate"/>
      <w:fldChar w:fldCharType="end"/>
    </w:r>
    <w:r>
      <w:rPr>
        <w:rFonts w:ascii="Inter" w:cs="Inter" w:eastAsia="Inter" w:hAnsi="Inter"/>
        <w:color w:val="A7B3BF"/>
        <w:sz w:val="16"/>
        <w:szCs w:val="16"/>
      </w:rPr>
      <w:t xml:space="preserve"> of </w:t>
    </w:r>
    <w:r>
      <w:rPr>
        <w:rFonts w:ascii="Inter" w:cs="Inter" w:eastAsia="Inter" w:hAnsi="Inter"/>
        <w:color w:val="A7B3B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FA3D1" w:sz="6" w:space="4"/>
      </w:pBdr>
      <w:tabs>
        <w:tab w:val="right" w:pos="10080"/>
      </w:tabs>
    </w:pPr>
    <w:r>
      <w:rPr>
        <w:rFonts w:ascii="Inter" w:cs="Inter" w:eastAsia="Inter" w:hAnsi="Inter"/>
        <w:b/>
        <w:bCs/>
        <w:color w:val="0B1F33"/>
        <w:sz w:val="18"/>
        <w:szCs w:val="18"/>
      </w:rPr>
      <w:t xml:space="preserve">RESILIENCE READINESS ASSESSMENT</w:t>
    </w:r>
    <w:r>
      <w:rPr>
        <w:rFonts w:ascii="Inter" w:cs="Inter" w:eastAsia="Inter" w:hAnsi="Inter"/>
        <w:color w:val="3A5A73"/>
        <w:sz w:val="18"/>
        <w:szCs w:val="18"/>
      </w:rPr>
      <w:t xml:space="preserve">  |  METHODOLOGY &amp; FRAMEWORK REFERENCE</w:t>
    </w:r>
    <w:r>
      <w:t xml:space="preserve">	</w:t>
    </w:r>
    <w:r>
      <w:rPr>
        <w:rFonts w:ascii="Inter" w:cs="Inter" w:eastAsia="Inter" w:hAnsi="Inter"/>
        <w:color w:val="4FA3D1"/>
        <w:sz w:val="16"/>
        <w:szCs w:val="16"/>
      </w:rPr>
      <w:t xml:space="preserve">ResiliencebyDesign.com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ff6537aeba4f662cf50ead149fb9812c7f4c73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2026-06-08T02:21:17.583Z</dcterms:created>
  <dcterms:modified xsi:type="dcterms:W3CDTF">2026-06-08T02:21:17.583Z</dcterms:modified>
</cp:coreProperties>
</file>

<file path=docProps/custom.xml><?xml version="1.0" encoding="utf-8"?>
<Properties xmlns="http://schemas.openxmlformats.org/officeDocument/2006/custom-properties" xmlns:vt="http://schemas.openxmlformats.org/officeDocument/2006/docPropsVTypes"/>
</file>